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0840A2E6" w:rsidR="0030072F" w:rsidRPr="00E42755" w:rsidRDefault="00323C78" w:rsidP="0015139E">
      <w:pPr>
        <w:widowControl w:val="0"/>
        <w:spacing w:before="100" w:beforeAutospacing="1" w:after="100" w:afterAutospacing="1" w:line="360" w:lineRule="auto"/>
        <w:ind w:right="-164"/>
        <w:jc w:val="both"/>
        <w:rPr>
          <w:rFonts w:ascii="Palatino Linotype" w:eastAsia="Calibri" w:hAnsi="Palatino Linotype" w:cs="Arial"/>
          <w:b/>
          <w:color w:val="000000"/>
        </w:rPr>
      </w:pPr>
      <w:r>
        <w:rPr>
          <w:rFonts w:ascii="Palatino Linotype" w:hAnsi="Palatino Linotype" w:cs="Arial"/>
          <w:b/>
        </w:rPr>
        <w:t xml:space="preserve">OPINIÓN </w:t>
      </w:r>
      <w:r w:rsidR="0007653D" w:rsidRPr="0007653D">
        <w:rPr>
          <w:rFonts w:ascii="Palatino Linotype" w:hAnsi="Palatino Linotype" w:cs="Arial"/>
          <w:b/>
        </w:rPr>
        <w:t>PARTICULAR</w:t>
      </w:r>
      <w:r w:rsidR="008C7DB6">
        <w:rPr>
          <w:rFonts w:ascii="Palatino Linotype" w:hAnsi="Palatino Linotype" w:cs="Arial"/>
          <w:b/>
        </w:rPr>
        <w:t xml:space="preserve"> CONCURRENTE</w:t>
      </w:r>
      <w:r w:rsidR="0007653D" w:rsidRPr="0007653D">
        <w:rPr>
          <w:rFonts w:ascii="Palatino Linotype" w:hAnsi="Palatino Linotype" w:cs="Arial"/>
          <w:b/>
        </w:rPr>
        <w:t xml:space="preserve"> QUE FORMULA</w:t>
      </w:r>
      <w:r w:rsidR="008C7DB6">
        <w:rPr>
          <w:rFonts w:ascii="Palatino Linotype" w:hAnsi="Palatino Linotype" w:cs="Arial"/>
          <w:b/>
        </w:rPr>
        <w:t>N</w:t>
      </w:r>
      <w:r w:rsidR="0007653D" w:rsidRPr="0007653D">
        <w:rPr>
          <w:rFonts w:ascii="Palatino Linotype" w:hAnsi="Palatino Linotype" w:cs="Arial"/>
          <w:b/>
        </w:rPr>
        <w:t xml:space="preserve"> </w:t>
      </w:r>
      <w:r w:rsidR="008C7DB6">
        <w:rPr>
          <w:rFonts w:ascii="Palatino Linotype" w:hAnsi="Palatino Linotype" w:cs="Arial"/>
          <w:b/>
        </w:rPr>
        <w:t xml:space="preserve">LA COMISIONADA </w:t>
      </w:r>
      <w:r w:rsidR="0007653D" w:rsidRPr="0007653D">
        <w:rPr>
          <w:rFonts w:ascii="Palatino Linotype" w:hAnsi="Palatino Linotype" w:cs="Arial"/>
          <w:b/>
        </w:rPr>
        <w:t>EVA ABAID YAPUR</w:t>
      </w:r>
      <w:r w:rsidR="004119C7">
        <w:rPr>
          <w:rFonts w:ascii="Palatino Linotype" w:hAnsi="Palatino Linotype" w:cs="Arial"/>
          <w:b/>
        </w:rPr>
        <w:t xml:space="preserve"> Y </w:t>
      </w:r>
      <w:r w:rsidR="004119C7" w:rsidRPr="0007653D">
        <w:rPr>
          <w:rFonts w:ascii="Palatino Linotype" w:hAnsi="Palatino Linotype" w:cs="Arial"/>
          <w:b/>
        </w:rPr>
        <w:t xml:space="preserve">LA COMISIONADA </w:t>
      </w:r>
      <w:r w:rsidR="004119C7">
        <w:rPr>
          <w:rFonts w:ascii="Palatino Linotype" w:hAnsi="Palatino Linotype" w:cs="Arial"/>
          <w:b/>
        </w:rPr>
        <w:t>PRESIDENTA ZULEMA MARTÍNEZ SÁNCHEZ</w:t>
      </w:r>
      <w:r w:rsidR="0007653D" w:rsidRPr="0007653D">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8C7DB6">
        <w:rPr>
          <w:rFonts w:ascii="Palatino Linotype" w:hAnsi="Palatino Linotype" w:cs="Arial"/>
          <w:b/>
        </w:rPr>
        <w:t xml:space="preserve">TRIGÉSIMA </w:t>
      </w:r>
      <w:r w:rsidR="002D4526" w:rsidRPr="0007653D">
        <w:rPr>
          <w:rFonts w:ascii="Palatino Linotype" w:hAnsi="Palatino Linotype" w:cs="Arial"/>
          <w:b/>
        </w:rPr>
        <w:t>SESIÓN ORDINARIA DE</w:t>
      </w:r>
      <w:r w:rsidR="00BF5A25">
        <w:rPr>
          <w:rFonts w:ascii="Palatino Linotype" w:hAnsi="Palatino Linotype" w:cs="Arial"/>
          <w:b/>
        </w:rPr>
        <w:t>L</w:t>
      </w:r>
      <w:r w:rsidR="002D4526" w:rsidRPr="0007653D">
        <w:rPr>
          <w:rFonts w:ascii="Palatino Linotype" w:hAnsi="Palatino Linotype" w:cs="Arial"/>
          <w:b/>
        </w:rPr>
        <w:t xml:space="preserve"> </w:t>
      </w:r>
      <w:r w:rsidR="008C7DB6">
        <w:rPr>
          <w:rFonts w:ascii="Palatino Linotype" w:hAnsi="Palatino Linotype" w:cs="Arial"/>
          <w:b/>
        </w:rPr>
        <w:t>VEINTIDÓS DE AGOSTO DE DOS MIL DIECIOCHO</w:t>
      </w:r>
      <w:r w:rsidR="00DA5209" w:rsidRPr="0007653D">
        <w:rPr>
          <w:rFonts w:ascii="Palatino Linotype" w:hAnsi="Palatino Linotype" w:cs="Arial"/>
          <w:b/>
        </w:rPr>
        <w:t xml:space="preserve">, </w:t>
      </w:r>
      <w:r w:rsidR="00D557C2" w:rsidRPr="0007653D">
        <w:rPr>
          <w:rFonts w:ascii="Palatino Linotype" w:hAnsi="Palatino Linotype" w:cs="Arial"/>
          <w:b/>
        </w:rPr>
        <w:t>EN</w:t>
      </w:r>
      <w:r w:rsidR="00DA5209" w:rsidRPr="0007653D">
        <w:rPr>
          <w:rFonts w:ascii="Palatino Linotype" w:hAnsi="Palatino Linotype" w:cs="Arial"/>
          <w:b/>
        </w:rPr>
        <w:t xml:space="preserve"> </w:t>
      </w:r>
      <w:r w:rsidR="008C7DB6">
        <w:rPr>
          <w:rFonts w:ascii="Palatino Linotype" w:hAnsi="Palatino Linotype" w:cs="Arial"/>
          <w:b/>
        </w:rPr>
        <w:t>LOS</w:t>
      </w:r>
      <w:r w:rsidR="002D4526" w:rsidRPr="0007653D">
        <w:rPr>
          <w:rFonts w:ascii="Palatino Linotype" w:hAnsi="Palatino Linotype" w:cs="Arial"/>
          <w:b/>
        </w:rPr>
        <w:t xml:space="preserve"> RECURSO</w:t>
      </w:r>
      <w:r w:rsidR="008C7DB6">
        <w:rPr>
          <w:rFonts w:ascii="Palatino Linotype" w:hAnsi="Palatino Linotype" w:cs="Arial"/>
          <w:b/>
        </w:rPr>
        <w:t>S</w:t>
      </w:r>
      <w:r w:rsidR="002D4526" w:rsidRPr="0007653D">
        <w:rPr>
          <w:rFonts w:ascii="Palatino Linotype" w:hAnsi="Palatino Linotype" w:cs="Arial"/>
          <w:b/>
        </w:rPr>
        <w:t xml:space="preserve"> DE REVISIÓN </w:t>
      </w:r>
      <w:r w:rsidR="008C7DB6" w:rsidRPr="008C7DB6">
        <w:rPr>
          <w:rFonts w:ascii="Palatino Linotype" w:hAnsi="Palatino Linotype" w:cs="Arial"/>
          <w:b/>
        </w:rPr>
        <w:t xml:space="preserve">02431/INFOEM/IP/RR/2018, 02432/INFOEM/IP/RR/2018, 02433/INFOEM/IP/RR/2018, 02434/INFOEM/IP/RR/2018, 02435/INFOEM/IP/RR/2018, 02436/INFOEM/IP/RR/2018, 02437/INFOEM/IP/RR/2018, 02438/INFOEM/IP/RR/2018, 02439/INFOEM/IP/RR/2018, 02440/INFOEM/IP/RR/2018, 02441/INFOEM/IP/RR/2018, 02442/INFOEM/IP/RR/2018, 02443/INFOEM/IP/RR/2018, 02444/INFOEM/IP/RR/2018, 02445/INFOEM/IP/RR/2018, 02446/INFOEM/IP/RR/2018, 02447/INFOEM/IP/RR/2018, 02448/INFOEM/IP/RR/2018, 02449/INFOEM/IP/RR/2018, 02450/INFOEM/IP/RR/2018, 02451/INFOEM/IP/RR/2018, 02452/INFOEM/IP/RR/2018, 02453/INFOEM/IP/RR/2018, 02454/INFOEM/IP/RR/2018, 02455/INFOEM/IP/RR/2018 </w:t>
      </w:r>
      <w:r w:rsidR="008C7DB6">
        <w:rPr>
          <w:rFonts w:ascii="Palatino Linotype" w:hAnsi="Palatino Linotype" w:cs="Arial"/>
          <w:b/>
        </w:rPr>
        <w:t xml:space="preserve">Y </w:t>
      </w:r>
      <w:r w:rsidR="008C7DB6" w:rsidRPr="008C7DB6">
        <w:rPr>
          <w:rFonts w:ascii="Palatino Linotype" w:hAnsi="Palatino Linotype" w:cs="Arial"/>
          <w:b/>
        </w:rPr>
        <w:t>02456/INFOEM/IP/RR/2018</w:t>
      </w:r>
      <w:r w:rsidR="008C7DB6">
        <w:rPr>
          <w:rFonts w:ascii="Palatino Linotype" w:hAnsi="Palatino Linotype" w:cs="Arial"/>
          <w:b/>
        </w:rPr>
        <w:t xml:space="preserve"> ACUMULADOS.</w:t>
      </w:r>
    </w:p>
    <w:p w14:paraId="75976F25" w14:textId="047148F4" w:rsidR="0030072F" w:rsidRPr="008C7DB6" w:rsidRDefault="0030072F" w:rsidP="0015139E">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sidR="00F85381">
        <w:rPr>
          <w:rFonts w:ascii="Palatino Linotype" w:hAnsi="Palatino Linotype" w:cs="Arial"/>
        </w:rPr>
        <w:t>el</w:t>
      </w:r>
      <w:r w:rsidR="00F85381" w:rsidRPr="00E42755">
        <w:rPr>
          <w:rFonts w:ascii="Palatino Linotype" w:hAnsi="Palatino Linotype" w:cs="Arial"/>
        </w:rPr>
        <w:t xml:space="preserve"> artículo </w:t>
      </w:r>
      <w:r w:rsidR="00F85381">
        <w:rPr>
          <w:rFonts w:ascii="Palatino Linotype" w:hAnsi="Palatino Linotype" w:cs="Arial"/>
        </w:rPr>
        <w:t>14</w:t>
      </w:r>
      <w:r w:rsidR="00F85381" w:rsidRPr="00E42755">
        <w:rPr>
          <w:rFonts w:ascii="Palatino Linotype" w:hAnsi="Palatino Linotype" w:cs="Arial"/>
        </w:rPr>
        <w:t xml:space="preserve">, fracciones </w:t>
      </w:r>
      <w:r w:rsidR="00F85381">
        <w:rPr>
          <w:rFonts w:ascii="Palatino Linotype" w:hAnsi="Palatino Linotype" w:cs="Arial"/>
        </w:rPr>
        <w:t>X y XI</w:t>
      </w:r>
      <w:r w:rsidRPr="00E42755">
        <w:rPr>
          <w:rFonts w:ascii="Palatino Linotype" w:hAnsi="Palatino Linotype" w:cs="Arial"/>
        </w:rPr>
        <w:t xml:space="preserve"> del Reglamento Interior del Instituto de Transparencia, Acceso a la Información Pública y Protección de Datos Personales del Estado de México y Municipios, l</w:t>
      </w:r>
      <w:r w:rsidR="00E42755" w:rsidRPr="00E42755">
        <w:rPr>
          <w:rFonts w:ascii="Palatino Linotype" w:hAnsi="Palatino Linotype" w:cs="Arial"/>
        </w:rPr>
        <w:t>a</w:t>
      </w:r>
      <w:r w:rsidR="008C7DB6">
        <w:rPr>
          <w:rFonts w:ascii="Palatino Linotype" w:hAnsi="Palatino Linotype" w:cs="Arial"/>
        </w:rPr>
        <w:t>s</w:t>
      </w:r>
      <w:r w:rsidRPr="00E42755">
        <w:rPr>
          <w:rFonts w:ascii="Palatino Linotype" w:hAnsi="Palatino Linotype" w:cs="Arial"/>
        </w:rPr>
        <w:t xml:space="preserve"> que suscribe</w:t>
      </w:r>
      <w:r w:rsidR="008C7DB6">
        <w:rPr>
          <w:rFonts w:ascii="Palatino Linotype" w:hAnsi="Palatino Linotype" w:cs="Arial"/>
        </w:rPr>
        <w:t xml:space="preserve">n </w:t>
      </w:r>
      <w:r w:rsidR="004119C7" w:rsidRPr="0007653D">
        <w:rPr>
          <w:rFonts w:ascii="Palatino Linotype" w:hAnsi="Palatino Linotype" w:cs="Arial"/>
          <w:b/>
        </w:rPr>
        <w:t>EVA ABAID YAPUR</w:t>
      </w:r>
      <w:r w:rsidR="004119C7">
        <w:rPr>
          <w:rFonts w:ascii="Palatino Linotype" w:hAnsi="Palatino Linotype" w:cs="Arial"/>
          <w:b/>
        </w:rPr>
        <w:t xml:space="preserve"> </w:t>
      </w:r>
      <w:r w:rsidR="004119C7">
        <w:rPr>
          <w:rFonts w:ascii="Palatino Linotype" w:hAnsi="Palatino Linotype" w:cs="Arial"/>
        </w:rPr>
        <w:t xml:space="preserve">y </w:t>
      </w:r>
      <w:r w:rsidR="004119C7">
        <w:rPr>
          <w:rFonts w:ascii="Palatino Linotype" w:hAnsi="Palatino Linotype" w:cs="Arial"/>
          <w:b/>
        </w:rPr>
        <w:t>ZULEMA MARTÍNEZ SÁNCHEZ</w:t>
      </w:r>
      <w:r w:rsidRPr="00E42755">
        <w:rPr>
          <w:rFonts w:ascii="Palatino Linotype" w:hAnsi="Palatino Linotype" w:cs="Arial"/>
          <w:b/>
        </w:rPr>
        <w:t xml:space="preserve"> </w:t>
      </w:r>
      <w:r w:rsidRPr="00E42755">
        <w:rPr>
          <w:rFonts w:ascii="Palatino Linotype" w:hAnsi="Palatino Linotype" w:cs="Arial"/>
        </w:rPr>
        <w:t>emite</w:t>
      </w:r>
      <w:r w:rsidR="008C7DB6">
        <w:rPr>
          <w:rFonts w:ascii="Palatino Linotype" w:hAnsi="Palatino Linotype" w:cs="Arial"/>
        </w:rPr>
        <w:t>n</w:t>
      </w:r>
      <w:r w:rsidRPr="00E42755">
        <w:rPr>
          <w:rFonts w:ascii="Palatino Linotype" w:hAnsi="Palatino Linotype" w:cs="Arial"/>
        </w:rPr>
        <w:t xml:space="preserve"> </w:t>
      </w:r>
      <w:r w:rsidR="00323C78">
        <w:rPr>
          <w:rFonts w:ascii="Palatino Linotype" w:hAnsi="Palatino Linotype" w:cs="Arial"/>
          <w:b/>
        </w:rPr>
        <w:t>OPINIÓN</w:t>
      </w:r>
      <w:r w:rsidRPr="00E42755">
        <w:rPr>
          <w:rFonts w:ascii="Palatino Linotype" w:hAnsi="Palatino Linotype" w:cs="Arial"/>
          <w:b/>
        </w:rPr>
        <w:t xml:space="preserve"> PARTICULAR</w:t>
      </w:r>
      <w:r w:rsidR="008C7DB6">
        <w:rPr>
          <w:rFonts w:ascii="Palatino Linotype" w:hAnsi="Palatino Linotype" w:cs="Arial"/>
          <w:b/>
        </w:rPr>
        <w:t xml:space="preserve"> CONCURRENTE</w:t>
      </w:r>
      <w:r w:rsidRPr="00E42755">
        <w:rPr>
          <w:rFonts w:ascii="Palatino Linotype" w:hAnsi="Palatino Linotype" w:cs="Arial"/>
          <w:b/>
        </w:rPr>
        <w:t xml:space="preserve"> </w:t>
      </w:r>
      <w:r w:rsidRPr="00E42755">
        <w:rPr>
          <w:rFonts w:ascii="Palatino Linotype" w:hAnsi="Palatino Linotype" w:cs="Arial"/>
        </w:rPr>
        <w:t xml:space="preserve">respecto de la resolución dictada en </w:t>
      </w:r>
      <w:r w:rsidR="008C7DB6">
        <w:rPr>
          <w:rFonts w:ascii="Palatino Linotype" w:hAnsi="Palatino Linotype" w:cs="Arial"/>
        </w:rPr>
        <w:t>los</w:t>
      </w:r>
      <w:r w:rsidR="00DD676C">
        <w:rPr>
          <w:rFonts w:ascii="Palatino Linotype" w:hAnsi="Palatino Linotype" w:cs="Arial"/>
        </w:rPr>
        <w:t xml:space="preserve"> </w:t>
      </w:r>
      <w:r w:rsidRPr="00E42755">
        <w:rPr>
          <w:rFonts w:ascii="Palatino Linotype" w:hAnsi="Palatino Linotype" w:cs="Arial"/>
        </w:rPr>
        <w:t>recurso</w:t>
      </w:r>
      <w:r w:rsidR="008C7DB6">
        <w:rPr>
          <w:rFonts w:ascii="Palatino Linotype" w:hAnsi="Palatino Linotype" w:cs="Arial"/>
        </w:rPr>
        <w:t xml:space="preserve">s de revisión </w:t>
      </w:r>
      <w:r w:rsidR="008C7DB6" w:rsidRPr="008C7DB6">
        <w:rPr>
          <w:rFonts w:ascii="Palatino Linotype" w:hAnsi="Palatino Linotype" w:cs="Arial"/>
          <w:b/>
          <w:spacing w:val="-20"/>
        </w:rPr>
        <w:t xml:space="preserve">02431/INFOEM/IP/RR/2018, 02432/INFOEM/IP/RR/2018, 02433/INFOEM/IP/RR/2018, </w:t>
      </w:r>
      <w:r w:rsidR="008C7DB6" w:rsidRPr="008C7DB6">
        <w:rPr>
          <w:rFonts w:ascii="Palatino Linotype" w:hAnsi="Palatino Linotype" w:cs="Arial"/>
          <w:b/>
          <w:spacing w:val="-20"/>
        </w:rPr>
        <w:lastRenderedPageBreak/>
        <w:t xml:space="preserve">02434/INFOEM/IP/RR/2018, 02435/INFOEM/IP/RR/2018, 02436/INFOEM/IP/RR/2018, 02437/INFOEM/IP/RR/2018, 02438/INFOEM/IP/RR/2018, 02439/INFOEM/IP/RR/2018, 02440/INFOEM/IP/RR/2018, 02441/INFOEM/IP/RR/2018, 02442/INFOEM/IP/RR/2018, 02443/INFOEM/IP/RR/2018, 02444/INFOEM/IP/RR/2018, 02445/INFOEM/IP/RR/2018, 02446/INFOEM/IP/RR/2018, 02447/INFOEM/IP/RR/2018, 02448/INFOEM/IP/RR/2018, 02449/INFOEM/IP/RR/2018, 02450/INFOEM/IP/RR/2018, 02451/INFOEM/IP/RR/2018, 02452/INFOEM/IP/RR/2018, 02453/INFOEM/IP/RR/2018, 02454/INFOEM/IP/RR/2018, 02455/INFOEM/IP/RR/2018 </w:t>
      </w:r>
      <w:r w:rsidR="008C7DB6" w:rsidRPr="008C7DB6">
        <w:rPr>
          <w:rFonts w:ascii="Palatino Linotype" w:hAnsi="Palatino Linotype" w:cs="Arial"/>
        </w:rPr>
        <w:t>y</w:t>
      </w:r>
      <w:r w:rsidR="008C7DB6" w:rsidRPr="008C7DB6">
        <w:rPr>
          <w:rFonts w:ascii="Palatino Linotype" w:hAnsi="Palatino Linotype" w:cs="Arial"/>
          <w:b/>
          <w:spacing w:val="-20"/>
        </w:rPr>
        <w:t xml:space="preserve"> 02456/INFOEM/IP/RR/2018</w:t>
      </w:r>
      <w:r w:rsidR="008C7DB6">
        <w:rPr>
          <w:rFonts w:ascii="Palatino Linotype" w:hAnsi="Palatino Linotype" w:cs="Arial"/>
          <w:b/>
          <w:spacing w:val="-20"/>
        </w:rPr>
        <w:t xml:space="preserve"> </w:t>
      </w:r>
      <w:r w:rsidR="008C7DB6" w:rsidRPr="008C7DB6">
        <w:rPr>
          <w:rFonts w:ascii="Palatino Linotype" w:hAnsi="Palatino Linotype" w:cs="Arial"/>
        </w:rPr>
        <w:t>acumulados</w:t>
      </w:r>
      <w:r w:rsidR="008C7DB6">
        <w:rPr>
          <w:rFonts w:ascii="Palatino Linotype" w:hAnsi="Palatino Linotype" w:cs="Arial"/>
          <w:b/>
        </w:rPr>
        <w:t xml:space="preserve"> </w:t>
      </w:r>
      <w:r w:rsidRPr="00E42755">
        <w:rPr>
          <w:rFonts w:ascii="Palatino Linotype" w:hAnsi="Palatino Linotype" w:cs="Arial"/>
        </w:rPr>
        <w:t xml:space="preserve">, pronunciada por el Pleno de este Instituto ante el proyecto presentado por </w:t>
      </w:r>
      <w:r w:rsidR="00F42FCF">
        <w:rPr>
          <w:rFonts w:ascii="Palatino Linotype" w:hAnsi="Palatino Linotype" w:cs="Arial"/>
        </w:rPr>
        <w:t>el</w:t>
      </w:r>
      <w:r w:rsidRPr="00E42755">
        <w:rPr>
          <w:rFonts w:ascii="Palatino Linotype" w:hAnsi="Palatino Linotype" w:cs="Arial"/>
        </w:rPr>
        <w:t xml:space="preserve"> Comisionad</w:t>
      </w:r>
      <w:r w:rsidR="00F42FCF">
        <w:rPr>
          <w:rFonts w:ascii="Palatino Linotype" w:hAnsi="Palatino Linotype" w:cs="Arial"/>
        </w:rPr>
        <w:t>o</w:t>
      </w:r>
      <w:r w:rsidR="00BA7F75">
        <w:rPr>
          <w:rFonts w:ascii="Palatino Linotype" w:hAnsi="Palatino Linotype" w:cs="Arial"/>
        </w:rPr>
        <w:t xml:space="preserve"> </w:t>
      </w:r>
      <w:r w:rsidR="00F42FCF">
        <w:rPr>
          <w:rFonts w:ascii="Palatino Linotype" w:hAnsi="Palatino Linotype" w:cs="Arial"/>
          <w:b/>
        </w:rPr>
        <w:t>JOSÉ GUADALUPE LUNA HERNÁNDEZ</w:t>
      </w:r>
      <w:r w:rsidR="00DD676C">
        <w:rPr>
          <w:rFonts w:ascii="Palatino Linotype" w:hAnsi="Palatino Linotype" w:cs="Arial"/>
          <w:b/>
        </w:rPr>
        <w:t>,</w:t>
      </w:r>
      <w:r w:rsidRPr="0007653D">
        <w:rPr>
          <w:rFonts w:ascii="Palatino Linotype" w:hAnsi="Palatino Linotype" w:cs="Arial"/>
        </w:rPr>
        <w:t xml:space="preserve"> </w:t>
      </w:r>
      <w:r w:rsidR="00CC06C9">
        <w:rPr>
          <w:rFonts w:ascii="Palatino Linotype" w:hAnsi="Palatino Linotype" w:cs="Arial"/>
        </w:rPr>
        <w:t>que es del tenor siguiente.</w:t>
      </w:r>
    </w:p>
    <w:p w14:paraId="2C291B29" w14:textId="6273DE4B" w:rsidR="00F42FCF" w:rsidRDefault="00323C78" w:rsidP="0015139E">
      <w:pPr>
        <w:spacing w:before="100" w:beforeAutospacing="1" w:after="100" w:afterAutospacing="1" w:line="360" w:lineRule="auto"/>
        <w:jc w:val="both"/>
        <w:rPr>
          <w:rFonts w:ascii="Palatino Linotype" w:hAnsi="Palatino Linotype" w:cs="Arial"/>
        </w:rPr>
      </w:pPr>
      <w:r>
        <w:rPr>
          <w:rFonts w:ascii="Palatino Linotype" w:hAnsi="Palatino Linotype"/>
        </w:rPr>
        <w:t>C</w:t>
      </w:r>
      <w:r w:rsidR="0007653D" w:rsidRPr="00D93A88">
        <w:rPr>
          <w:rFonts w:ascii="Palatino Linotype" w:hAnsi="Palatino Linotype"/>
        </w:rPr>
        <w:t>omo quedó debidamente asentado en la resolución materia de</w:t>
      </w:r>
      <w:r>
        <w:rPr>
          <w:rFonts w:ascii="Palatino Linotype" w:hAnsi="Palatino Linotype"/>
        </w:rPr>
        <w:t xml:space="preserve"> </w:t>
      </w:r>
      <w:r w:rsidR="0007653D" w:rsidRPr="00D93A88">
        <w:rPr>
          <w:rFonts w:ascii="Palatino Linotype" w:hAnsi="Palatino Linotype"/>
        </w:rPr>
        <w:t>l</w:t>
      </w:r>
      <w:r>
        <w:rPr>
          <w:rFonts w:ascii="Palatino Linotype" w:hAnsi="Palatino Linotype"/>
        </w:rPr>
        <w:t>a</w:t>
      </w:r>
      <w:r w:rsidR="0007653D" w:rsidRPr="00D93A88">
        <w:rPr>
          <w:rFonts w:ascii="Palatino Linotype" w:hAnsi="Palatino Linotype"/>
        </w:rPr>
        <w:t xml:space="preserve"> presente </w:t>
      </w:r>
      <w:r>
        <w:rPr>
          <w:rFonts w:ascii="Palatino Linotype" w:hAnsi="Palatino Linotype"/>
        </w:rPr>
        <w:t>opinión</w:t>
      </w:r>
      <w:r w:rsidR="0007653D" w:rsidRPr="00D93A88">
        <w:rPr>
          <w:rFonts w:ascii="Palatino Linotype" w:hAnsi="Palatino Linotype"/>
        </w:rPr>
        <w:t xml:space="preserve">, el particular </w:t>
      </w:r>
      <w:r w:rsidR="008C0700">
        <w:rPr>
          <w:rFonts w:ascii="Palatino Linotype" w:hAnsi="Palatino Linotype"/>
        </w:rPr>
        <w:t xml:space="preserve">requirió del </w:t>
      </w:r>
      <w:r w:rsidR="00F42FCF" w:rsidRPr="00F42FCF">
        <w:rPr>
          <w:rFonts w:ascii="Palatino Linotype" w:hAnsi="Palatino Linotype"/>
          <w:b/>
        </w:rPr>
        <w:t>Instituto Electoral del Estado de México</w:t>
      </w:r>
      <w:r w:rsidR="00F42FCF">
        <w:rPr>
          <w:rFonts w:ascii="Palatino Linotype" w:hAnsi="Palatino Linotype"/>
        </w:rPr>
        <w:t xml:space="preserve">, en lo subsecuente </w:t>
      </w:r>
      <w:r w:rsidR="00F42FCF">
        <w:rPr>
          <w:rFonts w:ascii="Palatino Linotype" w:hAnsi="Palatino Linotype"/>
          <w:b/>
        </w:rPr>
        <w:t xml:space="preserve">EL </w:t>
      </w:r>
      <w:r w:rsidR="008C0700" w:rsidRPr="008C0700">
        <w:rPr>
          <w:rFonts w:ascii="Palatino Linotype" w:hAnsi="Palatino Linotype"/>
          <w:b/>
        </w:rPr>
        <w:t>SUJETO OBLIGADO</w:t>
      </w:r>
      <w:r w:rsidR="002A0C31">
        <w:rPr>
          <w:rFonts w:ascii="Palatino Linotype" w:hAnsi="Palatino Linotype"/>
          <w:b/>
        </w:rPr>
        <w:t>,</w:t>
      </w:r>
      <w:r w:rsidR="008C0700" w:rsidRPr="008C0700">
        <w:rPr>
          <w:rFonts w:ascii="Palatino Linotype" w:hAnsi="Palatino Linotype"/>
        </w:rPr>
        <w:t xml:space="preserve"> </w:t>
      </w:r>
      <w:r w:rsidR="003102FA">
        <w:rPr>
          <w:rFonts w:ascii="Palatino Linotype" w:hAnsi="Palatino Linotype"/>
        </w:rPr>
        <w:t>vía SAIMEX,</w:t>
      </w:r>
      <w:r w:rsidR="000D66DE" w:rsidRPr="000D66DE">
        <w:rPr>
          <w:rFonts w:ascii="Palatino Linotype" w:hAnsi="Palatino Linotype" w:cs="Arial"/>
        </w:rPr>
        <w:t xml:space="preserve"> </w:t>
      </w:r>
      <w:r w:rsidR="00F42FCF">
        <w:rPr>
          <w:rFonts w:ascii="Palatino Linotype" w:hAnsi="Palatino Linotype" w:cs="Arial"/>
        </w:rPr>
        <w:t>la información que a continuación se desagrega:</w:t>
      </w:r>
    </w:p>
    <w:p w14:paraId="6162A9B8" w14:textId="77777777" w:rsid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1.</w:t>
      </w:r>
      <w:r w:rsidRPr="00F42FCF">
        <w:rPr>
          <w:rFonts w:ascii="Palatino Linotype" w:hAnsi="Palatino Linotype" w:cs="Arial"/>
        </w:rPr>
        <w:tab/>
        <w:t xml:space="preserve">De las 45 de las juntas distritales del proceso electoral 2017-2018, específicamente por el periodo de noviembre y diciembre de 2017 y enero, febrero, marzo, abril y mayo de 2018, por centro de costo, lo siguiente: </w:t>
      </w:r>
    </w:p>
    <w:p w14:paraId="2115EA90" w14:textId="77777777" w:rsidR="00F42FCF" w:rsidRP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a)</w:t>
      </w:r>
      <w:r w:rsidRPr="00F42FCF">
        <w:rPr>
          <w:rFonts w:ascii="Palatino Linotype" w:hAnsi="Palatino Linotype" w:cs="Arial"/>
        </w:rPr>
        <w:tab/>
        <w:t>El monto gastado mensualmente.</w:t>
      </w:r>
    </w:p>
    <w:p w14:paraId="60D44D4F" w14:textId="5B32CB27" w:rsidR="00F42FCF" w:rsidRP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b)</w:t>
      </w:r>
      <w:r w:rsidRPr="00F42FCF">
        <w:rPr>
          <w:rFonts w:ascii="Palatino Linotype" w:hAnsi="Palatino Linotype" w:cs="Arial"/>
        </w:rPr>
        <w:tab/>
        <w:t xml:space="preserve">La solicitud de comprobación de gastos </w:t>
      </w:r>
    </w:p>
    <w:p w14:paraId="4BA6B5FA" w14:textId="46A88A1C" w:rsidR="00F42FCF" w:rsidRP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c)</w:t>
      </w:r>
      <w:r w:rsidRPr="00F42FCF">
        <w:rPr>
          <w:rFonts w:ascii="Palatino Linotype" w:hAnsi="Palatino Linotype" w:cs="Arial"/>
        </w:rPr>
        <w:tab/>
        <w:t xml:space="preserve">El formato de comprobación de gastos </w:t>
      </w:r>
    </w:p>
    <w:p w14:paraId="55A00F56" w14:textId="4AC72013" w:rsidR="00F42FCF" w:rsidRP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d)</w:t>
      </w:r>
      <w:r w:rsidRPr="00F42FCF">
        <w:rPr>
          <w:rFonts w:ascii="Palatino Linotype" w:hAnsi="Palatino Linotype" w:cs="Arial"/>
        </w:rPr>
        <w:tab/>
        <w:t xml:space="preserve">La hoja de comprobación de peajes </w:t>
      </w:r>
    </w:p>
    <w:p w14:paraId="78793613" w14:textId="542652D1" w:rsidR="00F42FCF" w:rsidRP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e)</w:t>
      </w:r>
      <w:r w:rsidRPr="00F42FCF">
        <w:rPr>
          <w:rFonts w:ascii="Palatino Linotype" w:hAnsi="Palatino Linotype" w:cs="Arial"/>
        </w:rPr>
        <w:tab/>
        <w:t xml:space="preserve">La solicitud de dotación de combustible </w:t>
      </w:r>
    </w:p>
    <w:p w14:paraId="5D1C5CF4" w14:textId="77777777" w:rsid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lastRenderedPageBreak/>
        <w:t>2.</w:t>
      </w:r>
      <w:r w:rsidRPr="00F42FCF">
        <w:rPr>
          <w:rFonts w:ascii="Palatino Linotype" w:hAnsi="Palatino Linotype" w:cs="Arial"/>
        </w:rPr>
        <w:tab/>
        <w:t>De las 125 de las juntas municipales, del proceso electoral 2017-2018, específicamente por el periodo de noviembre y diciembre de 2017 y enero, febrero, marzo, abril y mayo de 2018, por centro de costo, lo siguiente:</w:t>
      </w:r>
    </w:p>
    <w:p w14:paraId="2426E5C4" w14:textId="77777777" w:rsidR="00F42FCF" w:rsidRP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a)</w:t>
      </w:r>
      <w:r w:rsidRPr="00F42FCF">
        <w:rPr>
          <w:rFonts w:ascii="Palatino Linotype" w:hAnsi="Palatino Linotype" w:cs="Arial"/>
        </w:rPr>
        <w:tab/>
        <w:t>El monto gastado mensualmente.</w:t>
      </w:r>
    </w:p>
    <w:p w14:paraId="034963FA" w14:textId="5D43F491" w:rsidR="00F42FCF" w:rsidRP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b)</w:t>
      </w:r>
      <w:r w:rsidRPr="00F42FCF">
        <w:rPr>
          <w:rFonts w:ascii="Palatino Linotype" w:hAnsi="Palatino Linotype" w:cs="Arial"/>
        </w:rPr>
        <w:tab/>
        <w:t xml:space="preserve">La solicitud de comprobación de gastos </w:t>
      </w:r>
    </w:p>
    <w:p w14:paraId="318D2425" w14:textId="130A33F2" w:rsidR="00F42FCF" w:rsidRP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c)</w:t>
      </w:r>
      <w:r w:rsidRPr="00F42FCF">
        <w:rPr>
          <w:rFonts w:ascii="Palatino Linotype" w:hAnsi="Palatino Linotype" w:cs="Arial"/>
        </w:rPr>
        <w:tab/>
        <w:t xml:space="preserve">El formato de comprobación de gastos </w:t>
      </w:r>
    </w:p>
    <w:p w14:paraId="0EB06D5F" w14:textId="09779984" w:rsidR="00F42FCF" w:rsidRP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d)</w:t>
      </w:r>
      <w:r w:rsidRPr="00F42FCF">
        <w:rPr>
          <w:rFonts w:ascii="Palatino Linotype" w:hAnsi="Palatino Linotype" w:cs="Arial"/>
        </w:rPr>
        <w:tab/>
        <w:t xml:space="preserve">La hoja de comprobación de peajes </w:t>
      </w:r>
    </w:p>
    <w:p w14:paraId="38912BFB" w14:textId="4C49252F" w:rsidR="00F42FCF" w:rsidRDefault="00F42FCF" w:rsidP="002A0C31">
      <w:pPr>
        <w:spacing w:before="100" w:beforeAutospacing="1" w:after="100" w:afterAutospacing="1"/>
        <w:ind w:left="993" w:hanging="426"/>
        <w:jc w:val="both"/>
        <w:rPr>
          <w:rFonts w:ascii="Palatino Linotype" w:hAnsi="Palatino Linotype" w:cs="Arial"/>
        </w:rPr>
      </w:pPr>
      <w:r w:rsidRPr="00F42FCF">
        <w:rPr>
          <w:rFonts w:ascii="Palatino Linotype" w:hAnsi="Palatino Linotype" w:cs="Arial"/>
        </w:rPr>
        <w:t>e)</w:t>
      </w:r>
      <w:r w:rsidRPr="00F42FCF">
        <w:rPr>
          <w:rFonts w:ascii="Palatino Linotype" w:hAnsi="Palatino Linotype" w:cs="Arial"/>
        </w:rPr>
        <w:tab/>
        <w:t xml:space="preserve">La solicitud de dotación de combustible </w:t>
      </w:r>
    </w:p>
    <w:p w14:paraId="5DB41FD5" w14:textId="1223CBB3" w:rsidR="00982576" w:rsidRDefault="00CC06C9" w:rsidP="0015139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las constancias que integran </w:t>
      </w:r>
      <w:r w:rsidR="00A722B4">
        <w:rPr>
          <w:rFonts w:ascii="Palatino Linotype" w:hAnsi="Palatino Linotype" w:cs="Arial"/>
        </w:rPr>
        <w:t>el</w:t>
      </w:r>
      <w:r>
        <w:rPr>
          <w:rFonts w:ascii="Palatino Linotype" w:hAnsi="Palatino Linotype" w:cs="Arial"/>
        </w:rPr>
        <w:t xml:space="preserve"> expediente del recurso de revisión</w:t>
      </w:r>
      <w:r w:rsidR="002A0C31">
        <w:rPr>
          <w:rFonts w:ascii="Palatino Linotype" w:hAnsi="Palatino Linotype" w:cs="Arial"/>
        </w:rPr>
        <w:t>,</w:t>
      </w:r>
      <w:r>
        <w:rPr>
          <w:rFonts w:ascii="Palatino Linotype" w:hAnsi="Palatino Linotype" w:cs="Arial"/>
        </w:rPr>
        <w:t xml:space="preserve"> se advierte que </w:t>
      </w:r>
      <w:r w:rsidR="00B57FE6" w:rsidRPr="002A50EF">
        <w:rPr>
          <w:rFonts w:ascii="Palatino Linotype" w:hAnsi="Palatino Linotype" w:cs="Arial"/>
          <w:b/>
        </w:rPr>
        <w:t>EL SUJETO OBLIGADO</w:t>
      </w:r>
      <w:r w:rsidR="00B57FE6" w:rsidRPr="002A50EF">
        <w:rPr>
          <w:rFonts w:ascii="Palatino Linotype" w:hAnsi="Palatino Linotype" w:cs="Arial"/>
        </w:rPr>
        <w:t xml:space="preserve"> </w:t>
      </w:r>
      <w:r w:rsidR="00982576" w:rsidRPr="00982576">
        <w:rPr>
          <w:rFonts w:ascii="Palatino Linotype" w:hAnsi="Palatino Linotype" w:cs="Arial"/>
        </w:rPr>
        <w:t xml:space="preserve">remitió el </w:t>
      </w:r>
      <w:r w:rsidR="004119C7">
        <w:rPr>
          <w:rFonts w:ascii="Palatino Linotype" w:hAnsi="Palatino Linotype" w:cs="Arial"/>
        </w:rPr>
        <w:t>A</w:t>
      </w:r>
      <w:r w:rsidR="00982576" w:rsidRPr="00982576">
        <w:rPr>
          <w:rFonts w:ascii="Palatino Linotype" w:hAnsi="Palatino Linotype" w:cs="Arial"/>
        </w:rPr>
        <w:t xml:space="preserve">cta de la Trigésima Tercera Sesión Extraordinaria del Comité de Transparencia en </w:t>
      </w:r>
      <w:r w:rsidR="00982576">
        <w:rPr>
          <w:rFonts w:ascii="Palatino Linotype" w:hAnsi="Palatino Linotype" w:cs="Arial"/>
        </w:rPr>
        <w:t>la</w:t>
      </w:r>
      <w:r w:rsidR="00982576" w:rsidRPr="00982576">
        <w:rPr>
          <w:rFonts w:ascii="Palatino Linotype" w:hAnsi="Palatino Linotype" w:cs="Arial"/>
        </w:rPr>
        <w:t xml:space="preserve"> cual señaló que el Comité </w:t>
      </w:r>
      <w:r w:rsidR="00982576">
        <w:rPr>
          <w:rFonts w:ascii="Palatino Linotype" w:hAnsi="Palatino Linotype" w:cs="Arial"/>
        </w:rPr>
        <w:t>determinó</w:t>
      </w:r>
      <w:r w:rsidR="005C6466">
        <w:rPr>
          <w:rFonts w:ascii="Palatino Linotype" w:hAnsi="Palatino Linotype" w:cs="Arial"/>
        </w:rPr>
        <w:t>:</w:t>
      </w:r>
    </w:p>
    <w:p w14:paraId="067DE1A6" w14:textId="21E0CA31" w:rsidR="00982576" w:rsidRDefault="00982576" w:rsidP="0015139E">
      <w:pPr>
        <w:pStyle w:val="Prrafodelista"/>
        <w:numPr>
          <w:ilvl w:val="0"/>
          <w:numId w:val="12"/>
        </w:numPr>
        <w:spacing w:before="100" w:beforeAutospacing="1" w:after="100" w:afterAutospacing="1"/>
        <w:jc w:val="both"/>
        <w:rPr>
          <w:rFonts w:ascii="Palatino Linotype" w:hAnsi="Palatino Linotype" w:cs="Arial"/>
        </w:rPr>
      </w:pPr>
      <w:r>
        <w:rPr>
          <w:rFonts w:ascii="Palatino Linotype" w:hAnsi="Palatino Linotype" w:cs="Arial"/>
        </w:rPr>
        <w:t>A</w:t>
      </w:r>
      <w:r w:rsidRPr="00982576">
        <w:rPr>
          <w:rFonts w:ascii="Palatino Linotype" w:hAnsi="Palatino Linotype" w:cs="Arial"/>
        </w:rPr>
        <w:t>prob</w:t>
      </w:r>
      <w:r>
        <w:rPr>
          <w:rFonts w:ascii="Palatino Linotype" w:hAnsi="Palatino Linotype" w:cs="Arial"/>
        </w:rPr>
        <w:t>ar</w:t>
      </w:r>
      <w:r w:rsidRPr="00982576">
        <w:rPr>
          <w:rFonts w:ascii="Palatino Linotype" w:hAnsi="Palatino Linotype" w:cs="Arial"/>
        </w:rPr>
        <w:t xml:space="preserve"> la clasificación de información confidencial de datos personales </w:t>
      </w:r>
      <w:r>
        <w:rPr>
          <w:rFonts w:ascii="Palatino Linotype" w:hAnsi="Palatino Linotype" w:cs="Arial"/>
        </w:rPr>
        <w:t>enlistados</w:t>
      </w:r>
      <w:r w:rsidRPr="00982576">
        <w:rPr>
          <w:rFonts w:ascii="Palatino Linotype" w:hAnsi="Palatino Linotype" w:cs="Arial"/>
        </w:rPr>
        <w:t xml:space="preserve"> en el acta en mención</w:t>
      </w:r>
      <w:r w:rsidR="005C6466">
        <w:rPr>
          <w:rFonts w:ascii="Palatino Linotype" w:hAnsi="Palatino Linotype" w:cs="Arial"/>
        </w:rPr>
        <w:t>.</w:t>
      </w:r>
    </w:p>
    <w:p w14:paraId="024A4D73" w14:textId="77777777" w:rsidR="002A0C31" w:rsidRDefault="002A0C31" w:rsidP="002A0C31">
      <w:pPr>
        <w:pStyle w:val="Prrafodelista"/>
        <w:spacing w:before="100" w:beforeAutospacing="1" w:after="100" w:afterAutospacing="1"/>
        <w:jc w:val="both"/>
        <w:rPr>
          <w:rFonts w:ascii="Palatino Linotype" w:hAnsi="Palatino Linotype" w:cs="Arial"/>
        </w:rPr>
      </w:pPr>
    </w:p>
    <w:p w14:paraId="78912A3A" w14:textId="5FB74216" w:rsidR="00982576" w:rsidRPr="00982576" w:rsidRDefault="00982576" w:rsidP="0015139E">
      <w:pPr>
        <w:pStyle w:val="Prrafodelista"/>
        <w:numPr>
          <w:ilvl w:val="0"/>
          <w:numId w:val="12"/>
        </w:numPr>
        <w:spacing w:before="100" w:beforeAutospacing="1" w:after="100" w:afterAutospacing="1"/>
        <w:jc w:val="both"/>
        <w:rPr>
          <w:rFonts w:ascii="Palatino Linotype" w:hAnsi="Palatino Linotype" w:cs="Arial"/>
        </w:rPr>
      </w:pPr>
      <w:r>
        <w:rPr>
          <w:rFonts w:ascii="Palatino Linotype" w:hAnsi="Palatino Linotype" w:cs="Arial"/>
        </w:rPr>
        <w:t>La a</w:t>
      </w:r>
      <w:r w:rsidRPr="00982576">
        <w:rPr>
          <w:rFonts w:ascii="Palatino Linotype" w:hAnsi="Palatino Linotype" w:cs="Arial"/>
        </w:rPr>
        <w:t xml:space="preserve">cumulación en las solicitudes en comento derivado de la solicitud de la Dirección de Administración, que al tratarse de 22,476 fojas y dado el análisis, estudio y procesamiento de la información, no se cuenta con las capacidades humanas para atenderlas, toda vez que fueron ingresadas al sistema SAIMEX en la misma fecha y finalmente, aprobó el cambio de modalidad a “Consulta Directa”. </w:t>
      </w:r>
    </w:p>
    <w:p w14:paraId="336DE741" w14:textId="3437E123" w:rsidR="00052FFC" w:rsidRDefault="00BF5A25" w:rsidP="0015139E">
      <w:pPr>
        <w:spacing w:before="100" w:beforeAutospacing="1" w:after="100" w:afterAutospacing="1" w:line="360" w:lineRule="auto"/>
        <w:jc w:val="both"/>
        <w:rPr>
          <w:rFonts w:ascii="Palatino Linotype" w:hAnsi="Palatino Linotype"/>
        </w:rPr>
      </w:pPr>
      <w:r w:rsidRPr="00BF5A25">
        <w:rPr>
          <w:rFonts w:ascii="Palatino Linotype" w:hAnsi="Palatino Linotype" w:cs="Arial"/>
        </w:rPr>
        <w:t>En ese sentido, la</w:t>
      </w:r>
      <w:r w:rsidR="00C33483">
        <w:rPr>
          <w:rFonts w:ascii="Palatino Linotype" w:hAnsi="Palatino Linotype" w:cs="Arial"/>
        </w:rPr>
        <w:t>s</w:t>
      </w:r>
      <w:r w:rsidRPr="00BF5A25">
        <w:rPr>
          <w:rFonts w:ascii="Palatino Linotype" w:hAnsi="Palatino Linotype" w:cs="Arial"/>
        </w:rPr>
        <w:t xml:space="preserve"> que </w:t>
      </w:r>
      <w:r w:rsidR="00CC4D6A">
        <w:rPr>
          <w:rFonts w:ascii="Palatino Linotype" w:hAnsi="Palatino Linotype" w:cs="Arial"/>
        </w:rPr>
        <w:t>suscribimos</w:t>
      </w:r>
      <w:r w:rsidRPr="00BF5A25">
        <w:rPr>
          <w:rFonts w:ascii="Palatino Linotype" w:hAnsi="Palatino Linotype" w:cs="Arial"/>
        </w:rPr>
        <w:t xml:space="preserve"> coincid</w:t>
      </w:r>
      <w:r w:rsidR="00C33483">
        <w:rPr>
          <w:rFonts w:ascii="Palatino Linotype" w:hAnsi="Palatino Linotype" w:cs="Arial"/>
        </w:rPr>
        <w:t>imos</w:t>
      </w:r>
      <w:r w:rsidRPr="00BF5A25">
        <w:rPr>
          <w:rFonts w:ascii="Palatino Linotype" w:hAnsi="Palatino Linotype" w:cs="Arial"/>
        </w:rPr>
        <w:t xml:space="preserve"> con el proyecto en lo general, así como con el estudio de la resolución en comento; </w:t>
      </w:r>
      <w:r w:rsidR="00CF021E">
        <w:rPr>
          <w:rFonts w:ascii="Palatino Linotype" w:hAnsi="Palatino Linotype"/>
        </w:rPr>
        <w:t xml:space="preserve">empero, </w:t>
      </w:r>
      <w:r w:rsidR="00A722B4">
        <w:rPr>
          <w:rFonts w:ascii="Palatino Linotype" w:hAnsi="Palatino Linotype"/>
        </w:rPr>
        <w:t>estim</w:t>
      </w:r>
      <w:r w:rsidR="00C33483">
        <w:rPr>
          <w:rFonts w:ascii="Palatino Linotype" w:hAnsi="Palatino Linotype"/>
        </w:rPr>
        <w:t>amos</w:t>
      </w:r>
      <w:r w:rsidR="00CF021E" w:rsidRPr="00D93A88">
        <w:rPr>
          <w:rFonts w:ascii="Palatino Linotype" w:hAnsi="Palatino Linotype"/>
        </w:rPr>
        <w:t xml:space="preserve"> necesario </w:t>
      </w:r>
      <w:r w:rsidR="00052FFC">
        <w:rPr>
          <w:rFonts w:ascii="Palatino Linotype" w:hAnsi="Palatino Linotype"/>
        </w:rPr>
        <w:t>ahondar</w:t>
      </w:r>
      <w:r w:rsidR="00CF021E" w:rsidRPr="00D93A88">
        <w:rPr>
          <w:rFonts w:ascii="Palatino Linotype" w:hAnsi="Palatino Linotype"/>
        </w:rPr>
        <w:t xml:space="preserve"> </w:t>
      </w:r>
      <w:r w:rsidR="00052FFC">
        <w:rPr>
          <w:rFonts w:ascii="Palatino Linotype" w:hAnsi="Palatino Linotype"/>
        </w:rPr>
        <w:t xml:space="preserve">en </w:t>
      </w:r>
      <w:r w:rsidR="00052FFC">
        <w:rPr>
          <w:rFonts w:ascii="Palatino Linotype" w:hAnsi="Palatino Linotype"/>
        </w:rPr>
        <w:lastRenderedPageBreak/>
        <w:t>algunas</w:t>
      </w:r>
      <w:r w:rsidR="00CF021E" w:rsidRPr="00D93A88">
        <w:rPr>
          <w:rFonts w:ascii="Palatino Linotype" w:hAnsi="Palatino Linotype"/>
        </w:rPr>
        <w:t xml:space="preserve"> consideraciones </w:t>
      </w:r>
      <w:r w:rsidR="00CF021E">
        <w:rPr>
          <w:rFonts w:ascii="Palatino Linotype" w:hAnsi="Palatino Linotype"/>
        </w:rPr>
        <w:t xml:space="preserve">en torno </w:t>
      </w:r>
      <w:r w:rsidR="00052FFC">
        <w:rPr>
          <w:rFonts w:ascii="Palatino Linotype" w:hAnsi="Palatino Linotype"/>
        </w:rPr>
        <w:t>a l</w:t>
      </w:r>
      <w:r w:rsidR="005C6466">
        <w:rPr>
          <w:rFonts w:ascii="Palatino Linotype" w:hAnsi="Palatino Linotype"/>
        </w:rPr>
        <w:t>a modalidad de entrega de la información que</w:t>
      </w:r>
      <w:r w:rsidR="00052FFC">
        <w:rPr>
          <w:rFonts w:ascii="Palatino Linotype" w:hAnsi="Palatino Linotype"/>
        </w:rPr>
        <w:t xml:space="preserve"> se </w:t>
      </w:r>
      <w:r w:rsidR="00C570F6">
        <w:rPr>
          <w:rFonts w:ascii="Palatino Linotype" w:hAnsi="Palatino Linotype"/>
        </w:rPr>
        <w:t>ordena</w:t>
      </w:r>
      <w:r w:rsidR="004119C7">
        <w:rPr>
          <w:rFonts w:ascii="Palatino Linotype" w:hAnsi="Palatino Linotype"/>
        </w:rPr>
        <w:t>.</w:t>
      </w:r>
    </w:p>
    <w:p w14:paraId="48C9670D" w14:textId="625BBBCC" w:rsidR="00C33483" w:rsidRPr="00183659" w:rsidRDefault="006F71C7" w:rsidP="0015139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w:t>
      </w:r>
      <w:r w:rsidR="00C33483">
        <w:rPr>
          <w:rFonts w:ascii="Palatino Linotype" w:hAnsi="Palatino Linotype" w:cs="Arial"/>
        </w:rPr>
        <w:t xml:space="preserve">como ya fue establecido </w:t>
      </w:r>
      <w:r w:rsidR="00C33483" w:rsidRPr="00183659">
        <w:rPr>
          <w:rFonts w:ascii="Palatino Linotype" w:hAnsi="Palatino Linotype" w:cs="Arial"/>
          <w:b/>
        </w:rPr>
        <w:t>EL SUJETO OBLIGADO</w:t>
      </w:r>
      <w:r w:rsidR="00C33483" w:rsidRPr="00183659">
        <w:rPr>
          <w:rFonts w:ascii="Palatino Linotype" w:hAnsi="Palatino Linotype" w:cs="Arial"/>
        </w:rPr>
        <w:t xml:space="preserve"> se pronunció respecto a la imposibilidad </w:t>
      </w:r>
      <w:r w:rsidR="00C33483">
        <w:rPr>
          <w:rFonts w:ascii="Palatino Linotype" w:hAnsi="Palatino Linotype" w:cs="Arial"/>
        </w:rPr>
        <w:t>para dar atención a los requerimientos del entonces solicitante</w:t>
      </w:r>
      <w:r w:rsidR="00C33483" w:rsidRPr="00183659">
        <w:rPr>
          <w:rFonts w:ascii="Palatino Linotype" w:hAnsi="Palatino Linotype" w:cs="Arial"/>
        </w:rPr>
        <w:t xml:space="preserve">, pues </w:t>
      </w:r>
      <w:r>
        <w:rPr>
          <w:rFonts w:ascii="Palatino Linotype" w:hAnsi="Palatino Linotype" w:cs="Arial"/>
        </w:rPr>
        <w:t xml:space="preserve">a su dicho, </w:t>
      </w:r>
      <w:r w:rsidR="00C33483" w:rsidRPr="00183659">
        <w:rPr>
          <w:rFonts w:ascii="Palatino Linotype" w:hAnsi="Palatino Linotype" w:cs="Arial"/>
        </w:rPr>
        <w:t xml:space="preserve">se requiere de una serie de procedimientos </w:t>
      </w:r>
      <w:r>
        <w:rPr>
          <w:rFonts w:ascii="Palatino Linotype" w:hAnsi="Palatino Linotype" w:cs="Arial"/>
        </w:rPr>
        <w:t>(</w:t>
      </w:r>
      <w:r w:rsidR="00C33483" w:rsidRPr="00183659">
        <w:rPr>
          <w:rFonts w:ascii="Palatino Linotype" w:hAnsi="Palatino Linotype" w:cs="Arial"/>
        </w:rPr>
        <w:t>análisis, estudio</w:t>
      </w:r>
      <w:r>
        <w:rPr>
          <w:rFonts w:ascii="Palatino Linotype" w:hAnsi="Palatino Linotype" w:cs="Arial"/>
        </w:rPr>
        <w:t xml:space="preserve"> y</w:t>
      </w:r>
      <w:r w:rsidR="00C33483" w:rsidRPr="00183659">
        <w:rPr>
          <w:rFonts w:ascii="Palatino Linotype" w:hAnsi="Palatino Linotype" w:cs="Arial"/>
        </w:rPr>
        <w:t xml:space="preserve"> p</w:t>
      </w:r>
      <w:r w:rsidR="002F4434">
        <w:rPr>
          <w:rFonts w:ascii="Palatino Linotype" w:hAnsi="Palatino Linotype" w:cs="Arial"/>
        </w:rPr>
        <w:t>rocesamiento de la información</w:t>
      </w:r>
      <w:r>
        <w:rPr>
          <w:rFonts w:ascii="Palatino Linotype" w:hAnsi="Palatino Linotype" w:cs="Arial"/>
        </w:rPr>
        <w:t>)</w:t>
      </w:r>
      <w:r w:rsidR="002F4434">
        <w:rPr>
          <w:rFonts w:ascii="Palatino Linotype" w:hAnsi="Palatino Linotype" w:cs="Arial"/>
        </w:rPr>
        <w:t xml:space="preserve"> adicionales a las fu</w:t>
      </w:r>
      <w:r>
        <w:rPr>
          <w:rFonts w:ascii="Palatino Linotype" w:hAnsi="Palatino Linotype" w:cs="Arial"/>
        </w:rPr>
        <w:t>nciones y atribuciones propias</w:t>
      </w:r>
      <w:r w:rsidR="002F4434">
        <w:rPr>
          <w:rFonts w:ascii="Palatino Linotype" w:hAnsi="Palatino Linotype" w:cs="Arial"/>
        </w:rPr>
        <w:t>,</w:t>
      </w:r>
      <w:r>
        <w:rPr>
          <w:rFonts w:ascii="Palatino Linotype" w:hAnsi="Palatino Linotype" w:cs="Arial"/>
        </w:rPr>
        <w:t xml:space="preserve"> excediendo con ello, </w:t>
      </w:r>
      <w:r w:rsidR="00C33483" w:rsidRPr="00183659">
        <w:rPr>
          <w:rFonts w:ascii="Palatino Linotype" w:hAnsi="Palatino Linotype" w:cs="Arial"/>
        </w:rPr>
        <w:t>las capacidades humanas y técnico administrativas de las unidades adscritas</w:t>
      </w:r>
      <w:r>
        <w:rPr>
          <w:rFonts w:ascii="Palatino Linotype" w:hAnsi="Palatino Linotype" w:cs="Arial"/>
        </w:rPr>
        <w:t>;</w:t>
      </w:r>
      <w:r w:rsidR="00C33483" w:rsidRPr="00183659">
        <w:rPr>
          <w:rFonts w:ascii="Palatino Linotype" w:hAnsi="Palatino Linotype" w:cs="Arial"/>
        </w:rPr>
        <w:t xml:space="preserve"> por lo que, con el propósito de atender y colmar la pretensión del </w:t>
      </w:r>
      <w:r w:rsidR="00C33483" w:rsidRPr="00183659">
        <w:rPr>
          <w:rFonts w:ascii="Palatino Linotype" w:hAnsi="Palatino Linotype" w:cs="Arial"/>
          <w:b/>
        </w:rPr>
        <w:t>RECURRENTE</w:t>
      </w:r>
      <w:r w:rsidR="00C33483" w:rsidRPr="00183659">
        <w:rPr>
          <w:rFonts w:ascii="Palatino Linotype" w:hAnsi="Palatino Linotype" w:cs="Arial"/>
        </w:rPr>
        <w:t xml:space="preserve">, éste </w:t>
      </w:r>
      <w:r>
        <w:rPr>
          <w:rFonts w:ascii="Palatino Linotype" w:hAnsi="Palatino Linotype" w:cs="Arial"/>
        </w:rPr>
        <w:t>determinó</w:t>
      </w:r>
      <w:r w:rsidR="00C33483" w:rsidRPr="00183659">
        <w:rPr>
          <w:rFonts w:ascii="Palatino Linotype" w:hAnsi="Palatino Linotype" w:cs="Arial"/>
        </w:rPr>
        <w:t xml:space="preserve"> </w:t>
      </w:r>
      <w:r>
        <w:rPr>
          <w:rFonts w:ascii="Palatino Linotype" w:hAnsi="Palatino Linotype" w:cs="Arial"/>
        </w:rPr>
        <w:t xml:space="preserve">el cambio de </w:t>
      </w:r>
      <w:r w:rsidR="00C33483" w:rsidRPr="00183659">
        <w:rPr>
          <w:rFonts w:ascii="Palatino Linotype" w:hAnsi="Palatino Linotype" w:cs="Arial"/>
        </w:rPr>
        <w:t xml:space="preserve">modalidad de entrega de la información a </w:t>
      </w:r>
      <w:r w:rsidR="00C33483" w:rsidRPr="00183659">
        <w:rPr>
          <w:rFonts w:ascii="Palatino Linotype" w:hAnsi="Palatino Linotype" w:cs="Arial"/>
          <w:i/>
        </w:rPr>
        <w:t>Consulta Directa</w:t>
      </w:r>
      <w:r w:rsidR="004119C7">
        <w:rPr>
          <w:rFonts w:ascii="Palatino Linotype" w:hAnsi="Palatino Linotype" w:cs="Arial"/>
        </w:rPr>
        <w:t xml:space="preserve">; </w:t>
      </w:r>
      <w:r>
        <w:rPr>
          <w:rFonts w:ascii="Palatino Linotype" w:hAnsi="Palatino Linotype" w:cs="Arial"/>
        </w:rPr>
        <w:t xml:space="preserve"> </w:t>
      </w:r>
      <w:r w:rsidR="004119C7">
        <w:rPr>
          <w:rFonts w:ascii="Palatino Linotype" w:hAnsi="Palatino Linotype" w:cs="Arial"/>
        </w:rPr>
        <w:t xml:space="preserve">a fin de no coartar el derecho de acceso a la </w:t>
      </w:r>
      <w:r w:rsidR="0015139E">
        <w:rPr>
          <w:rFonts w:ascii="Palatino Linotype" w:hAnsi="Palatino Linotype" w:cs="Arial"/>
        </w:rPr>
        <w:t>información</w:t>
      </w:r>
      <w:r w:rsidR="004119C7">
        <w:rPr>
          <w:rFonts w:ascii="Palatino Linotype" w:hAnsi="Palatino Linotype" w:cs="Arial"/>
        </w:rPr>
        <w:t xml:space="preserve"> pública accionado por el particular.</w:t>
      </w:r>
    </w:p>
    <w:p w14:paraId="701316A3" w14:textId="5065B1F4" w:rsidR="002F4434" w:rsidRPr="00183659" w:rsidRDefault="002F4434" w:rsidP="0015139E">
      <w:pPr>
        <w:spacing w:before="100" w:beforeAutospacing="1" w:after="100" w:afterAutospacing="1"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En este sentido</w:t>
      </w:r>
      <w:r w:rsidR="004119C7">
        <w:rPr>
          <w:rFonts w:ascii="Palatino Linotype" w:eastAsia="Calibri" w:hAnsi="Palatino Linotype" w:cs="Bookman Old Style,Bold"/>
          <w:bCs/>
          <w:lang w:eastAsia="en-US"/>
        </w:rPr>
        <w:t>,</w:t>
      </w:r>
      <w:r w:rsidRPr="00183659">
        <w:rPr>
          <w:rFonts w:ascii="Palatino Linotype" w:eastAsia="Calibri" w:hAnsi="Palatino Linotype" w:cs="Bookman Old Style,Bold"/>
          <w:bCs/>
          <w:lang w:eastAsia="en-US"/>
        </w:rPr>
        <w:t xml:space="preserve"> es menester señalar que si bien es cierto </w:t>
      </w:r>
      <w:r w:rsidRPr="00183659">
        <w:rPr>
          <w:rFonts w:ascii="Palatino Linotype" w:eastAsia="Calibri" w:hAnsi="Palatino Linotype" w:cs="Bookman Old Style,Bold"/>
          <w:b/>
          <w:bCs/>
          <w:lang w:eastAsia="en-US"/>
        </w:rPr>
        <w:t>EL RECURRENTE</w:t>
      </w:r>
      <w:r w:rsidRPr="00183659">
        <w:rPr>
          <w:rFonts w:ascii="Palatino Linotype" w:eastAsia="Calibri" w:hAnsi="Palatino Linotype" w:cs="Bookman Old Style,Bold"/>
          <w:bCs/>
          <w:lang w:eastAsia="en-US"/>
        </w:rPr>
        <w:t xml:space="preserve"> eligió la entrega</w:t>
      </w:r>
      <w:r w:rsidR="00C4593D">
        <w:rPr>
          <w:rFonts w:ascii="Palatino Linotype" w:eastAsia="Calibri" w:hAnsi="Palatino Linotype" w:cs="Bookman Old Style,Bold"/>
          <w:bCs/>
          <w:lang w:eastAsia="en-US"/>
        </w:rPr>
        <w:t xml:space="preserve"> de la información</w:t>
      </w:r>
      <w:r w:rsidRPr="00183659">
        <w:rPr>
          <w:rFonts w:ascii="Palatino Linotype" w:eastAsia="Calibri" w:hAnsi="Palatino Linotype" w:cs="Bookman Old Style,Bold"/>
          <w:bCs/>
          <w:lang w:eastAsia="en-US"/>
        </w:rPr>
        <w:t xml:space="preserve"> vía </w:t>
      </w:r>
      <w:r w:rsidRPr="00183659">
        <w:rPr>
          <w:rFonts w:ascii="Palatino Linotype" w:eastAsia="Calibri" w:hAnsi="Palatino Linotype" w:cs="Bookman Old Style,Bold"/>
          <w:b/>
          <w:bCs/>
          <w:lang w:eastAsia="en-US"/>
        </w:rPr>
        <w:t>SAIMEX</w:t>
      </w:r>
      <w:r w:rsidR="00C4593D">
        <w:rPr>
          <w:rFonts w:ascii="Palatino Linotype" w:eastAsia="Calibri" w:hAnsi="Palatino Linotype" w:cs="Bookman Old Style,Bold"/>
          <w:bCs/>
          <w:lang w:eastAsia="en-US"/>
        </w:rPr>
        <w:t xml:space="preserve">, en el presente caso, </w:t>
      </w:r>
      <w:r w:rsidRPr="00183659">
        <w:rPr>
          <w:rFonts w:ascii="Palatino Linotype" w:eastAsia="Calibri" w:hAnsi="Palatino Linotype" w:cs="Bookman Old Style,Bold"/>
          <w:bCs/>
          <w:lang w:eastAsia="en-US"/>
        </w:rPr>
        <w:t xml:space="preserve">el cambio de modalidad efectuado por </w:t>
      </w:r>
      <w:r w:rsidRPr="00183659">
        <w:rPr>
          <w:rFonts w:ascii="Palatino Linotype" w:eastAsia="Calibri" w:hAnsi="Palatino Linotype" w:cs="Bookman Old Style,Bold"/>
          <w:b/>
          <w:bCs/>
          <w:lang w:eastAsia="en-US"/>
        </w:rPr>
        <w:t>EL SUJETO OBLIGADO</w:t>
      </w:r>
      <w:r w:rsidRPr="002F4434">
        <w:rPr>
          <w:rFonts w:ascii="Palatino Linotype" w:eastAsia="Calibri" w:hAnsi="Palatino Linotype" w:cs="Bookman Old Style,Bold"/>
          <w:bCs/>
          <w:lang w:eastAsia="en-US"/>
        </w:rPr>
        <w:t xml:space="preserve"> </w:t>
      </w:r>
      <w:r w:rsidR="00C4593D">
        <w:rPr>
          <w:rFonts w:ascii="Palatino Linotype" w:eastAsia="Calibri" w:hAnsi="Palatino Linotype" w:cs="Bookman Old Style,Bold"/>
          <w:bCs/>
          <w:lang w:eastAsia="en-US"/>
        </w:rPr>
        <w:t>(</w:t>
      </w:r>
      <w:r w:rsidRPr="002F4434">
        <w:rPr>
          <w:rFonts w:ascii="Palatino Linotype" w:eastAsia="Calibri" w:hAnsi="Palatino Linotype" w:cs="Bookman Old Style,Bold"/>
          <w:bCs/>
          <w:lang w:eastAsia="en-US"/>
        </w:rPr>
        <w:t>atendiendo a las circunstancias anteriormente descritas</w:t>
      </w:r>
      <w:r w:rsidR="00C4593D">
        <w:rPr>
          <w:rFonts w:ascii="Palatino Linotype" w:eastAsia="Calibri" w:hAnsi="Palatino Linotype" w:cs="Bookman Old Style,Bold"/>
          <w:bCs/>
          <w:lang w:eastAsia="en-US"/>
        </w:rPr>
        <w:t>)</w:t>
      </w:r>
      <w:r w:rsidRPr="002F4434">
        <w:rPr>
          <w:rFonts w:ascii="Palatino Linotype" w:eastAsia="Calibri" w:hAnsi="Palatino Linotype" w:cs="Bookman Old Style,Bold"/>
          <w:bCs/>
          <w:lang w:eastAsia="en-US"/>
        </w:rPr>
        <w:t xml:space="preserve"> se considera </w:t>
      </w:r>
      <w:r w:rsidR="00C4593D" w:rsidRPr="00C4593D">
        <w:rPr>
          <w:rFonts w:ascii="Palatino Linotype" w:eastAsia="Calibri" w:hAnsi="Palatino Linotype" w:cs="Bookman Old Style,Bold"/>
          <w:b/>
          <w:bCs/>
          <w:lang w:eastAsia="en-US"/>
        </w:rPr>
        <w:t>procedente</w:t>
      </w:r>
      <w:r w:rsidR="00C4593D">
        <w:rPr>
          <w:rFonts w:ascii="Palatino Linotype" w:eastAsia="Calibri" w:hAnsi="Palatino Linotype" w:cs="Bookman Old Style,Bold"/>
          <w:bCs/>
          <w:lang w:eastAsia="en-US"/>
        </w:rPr>
        <w:t xml:space="preserve"> pero </w:t>
      </w:r>
      <w:r w:rsidRPr="002F4434">
        <w:rPr>
          <w:rFonts w:ascii="Palatino Linotype" w:eastAsia="Calibri" w:hAnsi="Palatino Linotype" w:cs="Bookman Old Style,Bold"/>
          <w:bCs/>
          <w:lang w:eastAsia="en-US"/>
        </w:rPr>
        <w:t xml:space="preserve">no ajustado </w:t>
      </w:r>
      <w:r w:rsidRPr="00183659">
        <w:rPr>
          <w:rFonts w:ascii="Palatino Linotype" w:eastAsia="Calibri" w:hAnsi="Palatino Linotype" w:cs="Bookman Old Style,Bold"/>
          <w:bCs/>
          <w:lang w:eastAsia="en-US"/>
        </w:rPr>
        <w:t xml:space="preserve">a derecho, en virtud de </w:t>
      </w:r>
      <w:r w:rsidR="00296FCD">
        <w:rPr>
          <w:rFonts w:ascii="Palatino Linotype" w:eastAsia="Calibri" w:hAnsi="Palatino Linotype" w:cs="Bookman Old Style,Bold"/>
          <w:bCs/>
          <w:lang w:eastAsia="en-US"/>
        </w:rPr>
        <w:t>no</w:t>
      </w:r>
      <w:r w:rsidR="00C4593D">
        <w:rPr>
          <w:rFonts w:ascii="Palatino Linotype" w:eastAsia="Calibri" w:hAnsi="Palatino Linotype" w:cs="Bookman Old Style,Bold"/>
          <w:bCs/>
          <w:lang w:eastAsia="en-US"/>
        </w:rPr>
        <w:t xml:space="preserve"> encontrarse debidamente fundado y motivado, pues de conformidad con</w:t>
      </w:r>
      <w:r w:rsidRPr="00183659">
        <w:rPr>
          <w:rFonts w:ascii="Palatino Linotype" w:eastAsia="Calibri" w:hAnsi="Palatino Linotype" w:cs="Bookman Old Style,Bold"/>
          <w:bCs/>
          <w:lang w:eastAsia="en-US"/>
        </w:rPr>
        <w:t xml:space="preserve"> lo dispuesto </w:t>
      </w:r>
      <w:r w:rsidR="00C4593D">
        <w:rPr>
          <w:rFonts w:ascii="Palatino Linotype" w:eastAsia="Calibri" w:hAnsi="Palatino Linotype" w:cs="Bookman Old Style,Bold"/>
          <w:bCs/>
          <w:lang w:eastAsia="en-US"/>
        </w:rPr>
        <w:t xml:space="preserve">en </w:t>
      </w:r>
      <w:r w:rsidRPr="00183659">
        <w:rPr>
          <w:rFonts w:ascii="Palatino Linotype" w:eastAsia="Calibri" w:hAnsi="Palatino Linotype" w:cs="Bookman Old Style,Bold"/>
          <w:bCs/>
          <w:lang w:eastAsia="en-US"/>
        </w:rPr>
        <w:t xml:space="preserve">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w:t>
      </w:r>
      <w:r w:rsidR="00C4593D">
        <w:rPr>
          <w:rFonts w:ascii="Palatino Linotype" w:eastAsia="Calibri" w:hAnsi="Palatino Linotype" w:cs="Bookman Old Style,Bold"/>
          <w:bCs/>
          <w:lang w:eastAsia="en-US"/>
        </w:rPr>
        <w:t xml:space="preserve">se </w:t>
      </w:r>
      <w:r w:rsidRPr="00183659">
        <w:rPr>
          <w:rFonts w:ascii="Palatino Linotype" w:eastAsia="Calibri" w:hAnsi="Palatino Linotype" w:cs="Bookman Old Style,Bold"/>
          <w:bCs/>
          <w:lang w:eastAsia="en-US"/>
        </w:rPr>
        <w:t>dispone:</w:t>
      </w:r>
    </w:p>
    <w:p w14:paraId="01639025"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
          <w:bCs/>
          <w:i/>
          <w:sz w:val="22"/>
          <w:lang w:eastAsia="en-US"/>
        </w:rPr>
      </w:pPr>
      <w:r w:rsidRPr="00183659">
        <w:rPr>
          <w:rFonts w:ascii="Palatino Linotype" w:eastAsia="Calibri" w:hAnsi="Palatino Linotype" w:cs="Bookman Old Style,Bold"/>
          <w:bCs/>
          <w:i/>
          <w:sz w:val="22"/>
          <w:lang w:eastAsia="en-US"/>
        </w:rPr>
        <w:lastRenderedPageBreak/>
        <w:t>“</w:t>
      </w:r>
      <w:r w:rsidRPr="00183659">
        <w:rPr>
          <w:rFonts w:ascii="Palatino Linotype" w:eastAsia="Calibri" w:hAnsi="Palatino Linotype" w:cs="Bookman Old Style,Bold"/>
          <w:b/>
          <w:bCs/>
          <w:i/>
          <w:sz w:val="22"/>
          <w:lang w:eastAsia="en-US"/>
        </w:rPr>
        <w:t>CINCUENTA Y CUATRO</w:t>
      </w:r>
      <w:r w:rsidRPr="00183659">
        <w:rPr>
          <w:rFonts w:ascii="Palatino Linotype" w:eastAsia="Calibri" w:hAnsi="Palatino Linotype" w:cs="Bookman Old Style,Bold"/>
          <w:bCs/>
          <w:i/>
          <w:sz w:val="22"/>
          <w:lang w:eastAsia="en-US"/>
        </w:rPr>
        <w:t xml:space="preserve">.- De acuerdo a lo dispuesto por el párrafo segundo del artículo 48 de la Ley, </w:t>
      </w:r>
      <w:r w:rsidRPr="00183659">
        <w:rPr>
          <w:rFonts w:ascii="Palatino Linotype" w:eastAsia="Calibri" w:hAnsi="Palatino Linotype" w:cs="Bookman Old Style,Bold"/>
          <w:b/>
          <w:bCs/>
          <w:i/>
          <w:sz w:val="22"/>
          <w:lang w:eastAsia="en-US"/>
        </w:rPr>
        <w:t xml:space="preserve">la información podrá ser entregada vía electrónica a través del SICOSIEM. </w:t>
      </w:r>
    </w:p>
    <w:p w14:paraId="2C10DB1C"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
          <w:bCs/>
          <w:i/>
          <w:sz w:val="22"/>
          <w:lang w:eastAsia="en-US"/>
        </w:rPr>
      </w:pPr>
      <w:r w:rsidRPr="00183659">
        <w:rPr>
          <w:rFonts w:ascii="Palatino Linotype" w:eastAsia="Calibri" w:hAnsi="Palatino Linotype" w:cs="Bookman Old Style,Bold"/>
          <w:b/>
          <w:bCs/>
          <w:i/>
          <w:sz w:val="22"/>
          <w:lang w:eastAsia="en-US"/>
        </w:rPr>
        <w:t>Es obligación del responsable de la Unidad de Información verificar que los archivos electrónicos que contengan la información entregada, se encuentra agregada al SICOSIEM.</w:t>
      </w:r>
    </w:p>
    <w:p w14:paraId="65A16E67"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3D510E4"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La Dirección de Sistemas e Informática del Instituto, debe llevar un registro de incidencias en el cual se asienten todas las llamadas referentes al apoyo técnico para agregar los archivos electrónicos al SICOSIEM.</w:t>
      </w:r>
    </w:p>
    <w:p w14:paraId="625193CB"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 xml:space="preserve">La omisión por parte del responsable de la Unidad de Información del procedimiento antes descrito presume la negativa de la entrega de la Información. </w:t>
      </w:r>
    </w:p>
    <w:p w14:paraId="03E84BE7"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
          <w:bCs/>
          <w:i/>
          <w:sz w:val="22"/>
          <w:lang w:eastAsia="en-US"/>
        </w:rPr>
      </w:pPr>
      <w:r w:rsidRPr="00183659">
        <w:rPr>
          <w:rFonts w:ascii="Palatino Linotype" w:eastAsia="Calibri" w:hAnsi="Palatino Linotype" w:cs="Bookman Old Style,Bold"/>
          <w:b/>
          <w:bCs/>
          <w:i/>
          <w:sz w:val="22"/>
          <w:lang w:eastAsia="en-US"/>
        </w:rPr>
        <w:t>Cuando la información no pueda ser remitida vía electrónica, se deberá fundar y motivar la resolución respectiva, explicando en todo momento las causas que impiden el envío de la información de forma electrónica.</w:t>
      </w:r>
    </w:p>
    <w:p w14:paraId="06ACC906"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3806C545" w14:textId="77777777" w:rsidR="002F4434"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El formato mencionado deberá estar agregado al expediente electrónico de la solicitud de información pública, en el estatus respectivo.”</w:t>
      </w:r>
    </w:p>
    <w:p w14:paraId="577CF118" w14:textId="196CA697" w:rsidR="002F4434" w:rsidRPr="00183659" w:rsidRDefault="00C4593D" w:rsidP="0015139E">
      <w:pPr>
        <w:spacing w:before="100" w:beforeAutospacing="1" w:after="100" w:afterAutospacing="1"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En ese tenor</w:t>
      </w:r>
      <w:r w:rsidR="002F4434" w:rsidRPr="00183659">
        <w:rPr>
          <w:rFonts w:ascii="Palatino Linotype" w:eastAsia="Calibri" w:hAnsi="Palatino Linotype" w:cs="Bookman Old Style,Bold"/>
          <w:bCs/>
          <w:lang w:eastAsia="en-US"/>
        </w:rPr>
        <w:t>, es necesario remitirse a lo establecido por la Ley de Transparencia vigente en la Entidad, concretamente a su artículo 164, en el que se establece lo siguiente:</w:t>
      </w:r>
    </w:p>
    <w:p w14:paraId="2135C9CB"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lastRenderedPageBreak/>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2215D811"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 xml:space="preserve">En cualquier caso, se deberá </w:t>
      </w:r>
      <w:r w:rsidRPr="00C4593D">
        <w:rPr>
          <w:rFonts w:ascii="Palatino Linotype" w:eastAsia="Calibri" w:hAnsi="Palatino Linotype" w:cs="Bookman Old Style,Bold"/>
          <w:b/>
          <w:bCs/>
          <w:i/>
          <w:sz w:val="22"/>
          <w:lang w:eastAsia="en-US"/>
        </w:rPr>
        <w:t>fundar y motivar la necesidad de ofrecer otras modalidades</w:t>
      </w:r>
      <w:r w:rsidRPr="00183659">
        <w:rPr>
          <w:rFonts w:ascii="Palatino Linotype" w:eastAsia="Calibri" w:hAnsi="Palatino Linotype" w:cs="Bookman Old Style,Bold"/>
          <w:bCs/>
          <w:i/>
          <w:sz w:val="22"/>
          <w:lang w:eastAsia="en-US"/>
        </w:rPr>
        <w:t>.”</w:t>
      </w:r>
    </w:p>
    <w:p w14:paraId="745DD279" w14:textId="3B7471DD" w:rsidR="00296FCD" w:rsidRDefault="00C4593D" w:rsidP="0015139E">
      <w:pPr>
        <w:spacing w:before="100" w:beforeAutospacing="1" w:after="100" w:afterAutospacing="1"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 xml:space="preserve">De tal forma que, </w:t>
      </w:r>
      <w:r w:rsidR="002F4434" w:rsidRPr="00183659">
        <w:rPr>
          <w:rFonts w:ascii="Palatino Linotype" w:eastAsia="Calibri" w:hAnsi="Palatino Linotype" w:cs="Bookman Old Style,Bold"/>
          <w:b/>
          <w:bCs/>
          <w:lang w:eastAsia="en-US"/>
        </w:rPr>
        <w:t>EL SUJETO OBLIGADO</w:t>
      </w:r>
      <w:r w:rsidR="002F4434" w:rsidRPr="00183659">
        <w:rPr>
          <w:rFonts w:ascii="Palatino Linotype" w:eastAsia="Calibri" w:hAnsi="Palatino Linotype" w:cs="Bookman Old Style,Bold"/>
          <w:bCs/>
          <w:lang w:eastAsia="en-US"/>
        </w:rPr>
        <w:t xml:space="preserve"> </w:t>
      </w:r>
      <w:r w:rsidR="00296FCD">
        <w:rPr>
          <w:rFonts w:ascii="Palatino Linotype" w:eastAsia="Calibri" w:hAnsi="Palatino Linotype" w:cs="Bookman Old Style,Bold"/>
          <w:bCs/>
          <w:lang w:eastAsia="en-US"/>
        </w:rPr>
        <w:t xml:space="preserve">debió </w:t>
      </w:r>
      <w:r w:rsidR="002F4434" w:rsidRPr="00183659">
        <w:rPr>
          <w:rFonts w:ascii="Palatino Linotype" w:eastAsia="Calibri" w:hAnsi="Palatino Linotype" w:cs="Bookman Old Style,Bold"/>
          <w:bCs/>
          <w:lang w:eastAsia="en-US"/>
        </w:rPr>
        <w:t>h</w:t>
      </w:r>
      <w:r w:rsidR="00296FCD">
        <w:rPr>
          <w:rFonts w:ascii="Palatino Linotype" w:eastAsia="Calibri" w:hAnsi="Palatino Linotype" w:cs="Bookman Old Style,Bold"/>
          <w:bCs/>
          <w:lang w:eastAsia="en-US"/>
        </w:rPr>
        <w:t>acer</w:t>
      </w:r>
      <w:r w:rsidR="002F4434" w:rsidRPr="00183659">
        <w:rPr>
          <w:rFonts w:ascii="Palatino Linotype" w:eastAsia="Calibri" w:hAnsi="Palatino Linotype" w:cs="Bookman Old Style,Bold"/>
          <w:bCs/>
          <w:lang w:eastAsia="en-US"/>
        </w:rPr>
        <w:t xml:space="preserve"> del conocimiento del </w:t>
      </w:r>
      <w:r w:rsidR="002F4434" w:rsidRPr="00183659">
        <w:rPr>
          <w:rFonts w:ascii="Palatino Linotype" w:eastAsia="Calibri" w:hAnsi="Palatino Linotype" w:cs="Bookman Old Style,Bold"/>
          <w:b/>
          <w:bCs/>
          <w:lang w:eastAsia="en-US"/>
        </w:rPr>
        <w:t>RECURRENTE</w:t>
      </w:r>
      <w:r w:rsidR="002F4434" w:rsidRPr="00183659">
        <w:rPr>
          <w:rFonts w:ascii="Palatino Linotype" w:eastAsia="Calibri" w:hAnsi="Palatino Linotype" w:cs="Bookman Old Style,Bold"/>
          <w:bCs/>
          <w:lang w:eastAsia="en-US"/>
        </w:rPr>
        <w:t xml:space="preserve"> el m</w:t>
      </w:r>
      <w:r w:rsidR="00457590">
        <w:rPr>
          <w:rFonts w:ascii="Palatino Linotype" w:eastAsia="Calibri" w:hAnsi="Palatino Linotype" w:cs="Bookman Old Style,Bold"/>
          <w:bCs/>
          <w:lang w:eastAsia="en-US"/>
        </w:rPr>
        <w:t xml:space="preserve">ecanismo o procedimiento que en su caso tendría que </w:t>
      </w:r>
      <w:r w:rsidR="002F4434" w:rsidRPr="00183659">
        <w:rPr>
          <w:rFonts w:ascii="Palatino Linotype" w:eastAsia="Calibri" w:hAnsi="Palatino Linotype" w:cs="Bookman Old Style,Bold"/>
          <w:bCs/>
          <w:lang w:eastAsia="en-US"/>
        </w:rPr>
        <w:t>seguir a fin de que éste accediera a la información solicitada</w:t>
      </w:r>
      <w:r w:rsidR="00296FCD">
        <w:rPr>
          <w:rFonts w:ascii="Palatino Linotype" w:eastAsia="Calibri" w:hAnsi="Palatino Linotype" w:cs="Bookman Old Style,Bold"/>
          <w:bCs/>
          <w:lang w:eastAsia="en-US"/>
        </w:rPr>
        <w:t>.</w:t>
      </w:r>
    </w:p>
    <w:p w14:paraId="0B114B8D" w14:textId="7D40FAA1" w:rsidR="002F4434" w:rsidRPr="00183659" w:rsidRDefault="002F4434" w:rsidP="0015139E">
      <w:pPr>
        <w:spacing w:before="100" w:beforeAutospacing="1" w:after="100" w:afterAutospacing="1" w:line="360" w:lineRule="auto"/>
        <w:jc w:val="both"/>
        <w:rPr>
          <w:rFonts w:ascii="Palatino Linotype" w:eastAsia="Calibri" w:hAnsi="Palatino Linotype" w:cs="Bookman Old Style,Bold"/>
          <w:bCs/>
          <w:lang w:eastAsia="en-US"/>
        </w:rPr>
      </w:pPr>
      <w:r w:rsidRPr="00183659">
        <w:rPr>
          <w:rFonts w:ascii="Palatino Linotype" w:eastAsia="Calibri" w:hAnsi="Palatino Linotype" w:cs="Bookman Old Style,Bold"/>
          <w:bCs/>
          <w:lang w:eastAsia="en-US"/>
        </w:rPr>
        <w:t xml:space="preserve">Lo anterior, con apego a lo dispuesto por el artículo 158 de la multicitada Ley de Transparencia Estatal que a la letra </w:t>
      </w:r>
      <w:r w:rsidR="00457590">
        <w:rPr>
          <w:rFonts w:ascii="Palatino Linotype" w:eastAsia="Calibri" w:hAnsi="Palatino Linotype" w:cs="Bookman Old Style,Bold"/>
          <w:bCs/>
          <w:lang w:eastAsia="en-US"/>
        </w:rPr>
        <w:t>dicta</w:t>
      </w:r>
      <w:r w:rsidRPr="00183659">
        <w:rPr>
          <w:rFonts w:ascii="Palatino Linotype" w:eastAsia="Calibri" w:hAnsi="Palatino Linotype" w:cs="Bookman Old Style,Bold"/>
          <w:bCs/>
          <w:lang w:eastAsia="en-US"/>
        </w:rPr>
        <w:t>:</w:t>
      </w:r>
    </w:p>
    <w:p w14:paraId="6497BA50"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lang w:eastAsia="en-US"/>
        </w:rPr>
      </w:pPr>
      <w:r w:rsidRPr="00183659">
        <w:rPr>
          <w:rFonts w:ascii="Palatino Linotype" w:eastAsia="Calibri" w:hAnsi="Palatino Linotype" w:cs="Bookman Old Style,Bold"/>
          <w:bCs/>
          <w:i/>
          <w:sz w:val="22"/>
          <w:lang w:eastAsia="en-US"/>
        </w:rPr>
        <w:t xml:space="preserve">“Artículo 158. De manera excepcional, cuando de forma </w:t>
      </w:r>
      <w:r w:rsidRPr="007F3D4D">
        <w:rPr>
          <w:rFonts w:ascii="Palatino Linotype" w:eastAsia="Calibri" w:hAnsi="Palatino Linotype" w:cs="Bookman Old Style,Bold"/>
          <w:b/>
          <w:bCs/>
          <w:i/>
          <w:sz w:val="22"/>
          <w:lang w:eastAsia="en-US"/>
        </w:rPr>
        <w:t>fundada y motivada</w:t>
      </w:r>
      <w:r w:rsidRPr="00183659">
        <w:rPr>
          <w:rFonts w:ascii="Palatino Linotype" w:eastAsia="Calibri" w:hAnsi="Palatino Linotype" w:cs="Bookman Old Style,Bold"/>
          <w:bCs/>
          <w:i/>
          <w:sz w:val="22"/>
          <w:lang w:eastAsia="en-US"/>
        </w:rPr>
        <w:t xml:space="preserve">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7F3D4D">
        <w:rPr>
          <w:rFonts w:ascii="Palatino Linotype" w:eastAsia="Calibri" w:hAnsi="Palatino Linotype" w:cs="Bookman Old Style,Bold"/>
          <w:b/>
          <w:bCs/>
          <w:i/>
          <w:sz w:val="22"/>
          <w:lang w:eastAsia="en-US"/>
        </w:rPr>
        <w:t>se podrá poner a disposición del solicitante los documentos en consulta directa, salvo la información clasificada</w:t>
      </w:r>
      <w:r w:rsidRPr="00183659">
        <w:rPr>
          <w:rFonts w:ascii="Palatino Linotype" w:eastAsia="Calibri" w:hAnsi="Palatino Linotype" w:cs="Bookman Old Style,Bold"/>
          <w:bCs/>
          <w:i/>
          <w:sz w:val="22"/>
          <w:lang w:eastAsia="en-US"/>
        </w:rPr>
        <w:t>.”</w:t>
      </w:r>
    </w:p>
    <w:p w14:paraId="69270F2E" w14:textId="649A6630" w:rsidR="002F4434" w:rsidRPr="00183659" w:rsidRDefault="002F4434" w:rsidP="0015139E">
      <w:pPr>
        <w:spacing w:before="100" w:beforeAutospacing="1" w:after="100" w:afterAutospacing="1" w:line="360" w:lineRule="auto"/>
        <w:jc w:val="both"/>
        <w:rPr>
          <w:rFonts w:ascii="Palatino Linotype" w:eastAsia="Calibri" w:hAnsi="Palatino Linotype" w:cs="Bookman Old Style,Bold"/>
          <w:bCs/>
          <w:lang w:eastAsia="en-US"/>
        </w:rPr>
      </w:pPr>
      <w:r w:rsidRPr="00183659">
        <w:rPr>
          <w:rFonts w:ascii="Palatino Linotype" w:eastAsia="Calibri" w:hAnsi="Palatino Linotype" w:cs="Bookman Old Style,Bold"/>
          <w:bCs/>
          <w:lang w:eastAsia="en-US"/>
        </w:rPr>
        <w:t xml:space="preserve">Igualmente, para robustecer lo anterior, es conveniente citar el Criterio 008/2013 del hoy </w:t>
      </w:r>
      <w:r w:rsidR="00457590" w:rsidRPr="00457590">
        <w:rPr>
          <w:rFonts w:ascii="Palatino Linotype" w:eastAsia="Calibri" w:hAnsi="Palatino Linotype" w:cs="Bookman Old Style,Bold"/>
          <w:bCs/>
          <w:lang w:eastAsia="en-US"/>
        </w:rPr>
        <w:t>Instituto Nacional de Transparencia, Acceso a la Información y Protección de Datos Personales</w:t>
      </w:r>
      <w:r w:rsidR="00CC4D6A">
        <w:rPr>
          <w:rFonts w:ascii="Palatino Linotype" w:eastAsia="Calibri" w:hAnsi="Palatino Linotype" w:cs="Bookman Old Style,Bold"/>
          <w:bCs/>
          <w:lang w:eastAsia="en-US"/>
        </w:rPr>
        <w:t xml:space="preserve"> que prevé</w:t>
      </w:r>
      <w:r w:rsidRPr="00183659">
        <w:rPr>
          <w:rFonts w:ascii="Palatino Linotype" w:eastAsia="Calibri" w:hAnsi="Palatino Linotype" w:cs="Bookman Old Style,Bold"/>
          <w:bCs/>
          <w:lang w:eastAsia="en-US"/>
        </w:rPr>
        <w:t>:</w:t>
      </w:r>
    </w:p>
    <w:p w14:paraId="7C081D4A"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w:t>
      </w:r>
      <w:r w:rsidRPr="00183659">
        <w:rPr>
          <w:rFonts w:ascii="Palatino Linotype" w:eastAsia="Calibri" w:hAnsi="Palatino Linotype" w:cs="Bookman Old Style,Bold"/>
          <w:b/>
          <w:bCs/>
          <w:i/>
          <w:sz w:val="22"/>
          <w:lang w:eastAsia="en-US"/>
        </w:rPr>
        <w:t>Cuando exista impedimento justificado de atender la modalidad de entrega elegida por el solicitante, procede ofrecer todas las demás opciones previstas en la Ley</w:t>
      </w:r>
      <w:r w:rsidRPr="00183659">
        <w:rPr>
          <w:rFonts w:ascii="Palatino Linotype" w:eastAsia="Calibri" w:hAnsi="Palatino Linotype" w:cs="Bookman Old Style,Bold"/>
          <w:bCs/>
          <w:i/>
          <w:sz w:val="22"/>
          <w:lang w:eastAsia="en-US"/>
        </w:rPr>
        <w:t xml:space="preserve">. De conformidad con lo dispuesto en los artículos 42 y 44 de la Ley Federal de Transparencia y Acceso a la Información Pública Gubernamental, y 54 de su </w:t>
      </w:r>
      <w:r w:rsidRPr="00183659">
        <w:rPr>
          <w:rFonts w:ascii="Palatino Linotype" w:eastAsia="Calibri" w:hAnsi="Palatino Linotype" w:cs="Bookman Old Style,Bold"/>
          <w:bCs/>
          <w:i/>
          <w:sz w:val="22"/>
          <w:lang w:eastAsia="en-US"/>
        </w:rPr>
        <w:lastRenderedPageBreak/>
        <w:t xml:space="preserve">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0716B3C8"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 xml:space="preserve">Resoluciones </w:t>
      </w:r>
    </w:p>
    <w:p w14:paraId="0CFBC0D9"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 xml:space="preserve">RDA 2012/12. Interpuesto en contra de la Secretaría de Comunicaciones y Transportes. Comisionada Ponente Jacqueline </w:t>
      </w:r>
      <w:proofErr w:type="spellStart"/>
      <w:r w:rsidRPr="00183659">
        <w:rPr>
          <w:rFonts w:ascii="Palatino Linotype" w:eastAsia="Calibri" w:hAnsi="Palatino Linotype" w:cs="Bookman Old Style,Bold"/>
          <w:bCs/>
          <w:i/>
          <w:sz w:val="22"/>
          <w:lang w:eastAsia="en-US"/>
        </w:rPr>
        <w:t>Peschard</w:t>
      </w:r>
      <w:proofErr w:type="spellEnd"/>
      <w:r w:rsidRPr="00183659">
        <w:rPr>
          <w:rFonts w:ascii="Palatino Linotype" w:eastAsia="Calibri" w:hAnsi="Palatino Linotype" w:cs="Bookman Old Style,Bold"/>
          <w:bCs/>
          <w:i/>
          <w:sz w:val="22"/>
          <w:lang w:eastAsia="en-US"/>
        </w:rPr>
        <w:t xml:space="preserve"> Mariscal. </w:t>
      </w:r>
    </w:p>
    <w:p w14:paraId="3121F95C"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 xml:space="preserve">RDA 0973/12. Interpuesto en contra de la Secretaría de Educación Pública. Comisionada Ponente Sigrid </w:t>
      </w:r>
      <w:proofErr w:type="spellStart"/>
      <w:r w:rsidRPr="00183659">
        <w:rPr>
          <w:rFonts w:ascii="Palatino Linotype" w:eastAsia="Calibri" w:hAnsi="Palatino Linotype" w:cs="Bookman Old Style,Bold"/>
          <w:bCs/>
          <w:i/>
          <w:sz w:val="22"/>
          <w:lang w:eastAsia="en-US"/>
        </w:rPr>
        <w:t>Arzt</w:t>
      </w:r>
      <w:proofErr w:type="spellEnd"/>
      <w:r w:rsidRPr="00183659">
        <w:rPr>
          <w:rFonts w:ascii="Palatino Linotype" w:eastAsia="Calibri" w:hAnsi="Palatino Linotype" w:cs="Bookman Old Style,Bold"/>
          <w:bCs/>
          <w:i/>
          <w:sz w:val="22"/>
          <w:lang w:eastAsia="en-US"/>
        </w:rPr>
        <w:t xml:space="preserve"> Colunga. </w:t>
      </w:r>
    </w:p>
    <w:p w14:paraId="7F67FE8F"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 xml:space="preserve">RDA 0112/12. Interpuesto en contra de Petróleos Mexicanos. Comisionado Ponente Ángel Trinidad Zaldívar. </w:t>
      </w:r>
    </w:p>
    <w:p w14:paraId="539DA05F"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 xml:space="preserve">RDA 0085/12. Interpuesto en contra del Instituto Nacional de Ciencias Médicas y Nutrición Salvador </w:t>
      </w:r>
      <w:proofErr w:type="spellStart"/>
      <w:r w:rsidRPr="00183659">
        <w:rPr>
          <w:rFonts w:ascii="Palatino Linotype" w:eastAsia="Calibri" w:hAnsi="Palatino Linotype" w:cs="Bookman Old Style,Bold"/>
          <w:bCs/>
          <w:i/>
          <w:sz w:val="22"/>
          <w:lang w:eastAsia="en-US"/>
        </w:rPr>
        <w:t>Zubirán</w:t>
      </w:r>
      <w:proofErr w:type="spellEnd"/>
      <w:r w:rsidRPr="00183659">
        <w:rPr>
          <w:rFonts w:ascii="Palatino Linotype" w:eastAsia="Calibri" w:hAnsi="Palatino Linotype" w:cs="Bookman Old Style,Bold"/>
          <w:bCs/>
          <w:i/>
          <w:sz w:val="22"/>
          <w:lang w:eastAsia="en-US"/>
        </w:rPr>
        <w:t xml:space="preserve">. Comisionada Ponente Sigrid </w:t>
      </w:r>
      <w:proofErr w:type="spellStart"/>
      <w:r w:rsidRPr="00183659">
        <w:rPr>
          <w:rFonts w:ascii="Palatino Linotype" w:eastAsia="Calibri" w:hAnsi="Palatino Linotype" w:cs="Bookman Old Style,Bold"/>
          <w:bCs/>
          <w:i/>
          <w:sz w:val="22"/>
          <w:lang w:eastAsia="en-US"/>
        </w:rPr>
        <w:t>Arzt</w:t>
      </w:r>
      <w:proofErr w:type="spellEnd"/>
      <w:r w:rsidRPr="00183659">
        <w:rPr>
          <w:rFonts w:ascii="Palatino Linotype" w:eastAsia="Calibri" w:hAnsi="Palatino Linotype" w:cs="Bookman Old Style,Bold"/>
          <w:bCs/>
          <w:i/>
          <w:sz w:val="22"/>
          <w:lang w:eastAsia="en-US"/>
        </w:rPr>
        <w:t xml:space="preserve"> Colunga. </w:t>
      </w:r>
    </w:p>
    <w:p w14:paraId="611E300E" w14:textId="77777777" w:rsidR="002F4434" w:rsidRPr="00183659" w:rsidRDefault="002F4434" w:rsidP="0015139E">
      <w:pPr>
        <w:spacing w:before="100" w:beforeAutospacing="1" w:after="100" w:afterAutospacing="1"/>
        <w:ind w:left="709" w:right="757"/>
        <w:jc w:val="both"/>
        <w:rPr>
          <w:rFonts w:ascii="Palatino Linotype" w:eastAsia="Calibri" w:hAnsi="Palatino Linotype" w:cs="Bookman Old Style,Bold"/>
          <w:bCs/>
          <w:i/>
          <w:sz w:val="22"/>
          <w:lang w:eastAsia="en-US"/>
        </w:rPr>
      </w:pPr>
      <w:r w:rsidRPr="00183659">
        <w:rPr>
          <w:rFonts w:ascii="Palatino Linotype" w:eastAsia="Calibri" w:hAnsi="Palatino Linotype" w:cs="Bookman Old Style,Bold"/>
          <w:bCs/>
          <w:i/>
          <w:sz w:val="22"/>
          <w:lang w:eastAsia="en-US"/>
        </w:rPr>
        <w:t xml:space="preserve">3068/11. Interpuesto en contra de la Presidencia de la República. Comisionada Ponente María Elena Pérez-Jaén Zermeño.” </w:t>
      </w:r>
    </w:p>
    <w:p w14:paraId="5184402E" w14:textId="4FB705B5" w:rsidR="002F4434" w:rsidRDefault="00296FCD" w:rsidP="0015139E">
      <w:pPr>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lastRenderedPageBreak/>
        <w:t xml:space="preserve">Adicional, resulta adecuado puntualizar que </w:t>
      </w:r>
      <w:r w:rsidRPr="00296FCD">
        <w:rPr>
          <w:rFonts w:ascii="Palatino Linotype" w:hAnsi="Palatino Linotype"/>
          <w:color w:val="000000"/>
        </w:rPr>
        <w:t>la información solicitada no es susceptible de ser entregada vía SAIMEX</w:t>
      </w:r>
      <w:r w:rsidR="007F3D4D">
        <w:rPr>
          <w:rFonts w:ascii="Palatino Linotype" w:hAnsi="Palatino Linotype"/>
          <w:color w:val="000000"/>
        </w:rPr>
        <w:t xml:space="preserve"> en atención a los argumentos expuestos por </w:t>
      </w:r>
      <w:r w:rsidR="007F3D4D" w:rsidRPr="007F3D4D">
        <w:rPr>
          <w:rFonts w:ascii="Palatino Linotype" w:hAnsi="Palatino Linotype"/>
          <w:b/>
          <w:color w:val="000000"/>
        </w:rPr>
        <w:t>EL SUJETO OBLIGADO</w:t>
      </w:r>
      <w:r w:rsidR="007F3D4D">
        <w:rPr>
          <w:rFonts w:ascii="Palatino Linotype" w:hAnsi="Palatino Linotype"/>
          <w:color w:val="000000"/>
        </w:rPr>
        <w:t>, sin que ello implique el no poner a disposición de los particulares la información requerida; por lo que</w:t>
      </w:r>
      <w:r w:rsidR="00EA2B15">
        <w:rPr>
          <w:rFonts w:ascii="Palatino Linotype" w:hAnsi="Palatino Linotype"/>
          <w:color w:val="000000"/>
        </w:rPr>
        <w:t>,</w:t>
      </w:r>
      <w:r w:rsidR="007F3D4D">
        <w:rPr>
          <w:rFonts w:ascii="Palatino Linotype" w:hAnsi="Palatino Linotype"/>
          <w:color w:val="000000"/>
        </w:rPr>
        <w:t xml:space="preserve"> resulta </w:t>
      </w:r>
      <w:r>
        <w:rPr>
          <w:rFonts w:ascii="Palatino Linotype" w:hAnsi="Palatino Linotype"/>
          <w:color w:val="000000"/>
        </w:rPr>
        <w:t xml:space="preserve">procedente el cambio de modalidad, y en </w:t>
      </w:r>
      <w:r w:rsidR="007F3D4D">
        <w:rPr>
          <w:rFonts w:ascii="Palatino Linotype" w:hAnsi="Palatino Linotype"/>
          <w:color w:val="000000"/>
        </w:rPr>
        <w:t xml:space="preserve">el </w:t>
      </w:r>
      <w:r>
        <w:rPr>
          <w:rFonts w:ascii="Palatino Linotype" w:hAnsi="Palatino Linotype"/>
          <w:color w:val="000000"/>
        </w:rPr>
        <w:t>ejercicio de ponderación</w:t>
      </w:r>
      <w:r w:rsidR="00457590">
        <w:rPr>
          <w:rFonts w:ascii="Palatino Linotype" w:hAnsi="Palatino Linotype"/>
          <w:color w:val="000000"/>
        </w:rPr>
        <w:t xml:space="preserve"> tanto de los</w:t>
      </w:r>
      <w:r>
        <w:rPr>
          <w:rFonts w:ascii="Palatino Linotype" w:hAnsi="Palatino Linotype"/>
          <w:color w:val="000000"/>
        </w:rPr>
        <w:t xml:space="preserve"> derechos </w:t>
      </w:r>
      <w:r w:rsidR="00457590">
        <w:rPr>
          <w:rFonts w:ascii="Palatino Linotype" w:hAnsi="Palatino Linotype"/>
          <w:color w:val="000000"/>
        </w:rPr>
        <w:t xml:space="preserve">del </w:t>
      </w:r>
      <w:r w:rsidR="00457590" w:rsidRPr="00296FCD">
        <w:rPr>
          <w:rFonts w:ascii="Palatino Linotype" w:hAnsi="Palatino Linotype"/>
          <w:b/>
          <w:color w:val="000000"/>
        </w:rPr>
        <w:t>RECURRENTE</w:t>
      </w:r>
      <w:r w:rsidR="00457590">
        <w:rPr>
          <w:rFonts w:ascii="Palatino Linotype" w:hAnsi="Palatino Linotype"/>
          <w:color w:val="000000"/>
        </w:rPr>
        <w:t xml:space="preserve"> </w:t>
      </w:r>
      <w:r w:rsidR="00EA2B15">
        <w:rPr>
          <w:rFonts w:ascii="Palatino Linotype" w:hAnsi="Palatino Linotype"/>
          <w:color w:val="000000"/>
        </w:rPr>
        <w:t xml:space="preserve">como </w:t>
      </w:r>
      <w:r w:rsidR="00457590">
        <w:rPr>
          <w:rFonts w:ascii="Palatino Linotype" w:hAnsi="Palatino Linotype"/>
          <w:color w:val="000000"/>
        </w:rPr>
        <w:t xml:space="preserve">en </w:t>
      </w:r>
      <w:r w:rsidR="00EA2B15">
        <w:rPr>
          <w:rFonts w:ascii="Palatino Linotype" w:hAnsi="Palatino Linotype"/>
          <w:color w:val="000000"/>
        </w:rPr>
        <w:t>la contraposición de</w:t>
      </w:r>
      <w:r w:rsidR="00457590">
        <w:rPr>
          <w:rFonts w:ascii="Palatino Linotype" w:hAnsi="Palatino Linotype"/>
          <w:color w:val="000000"/>
        </w:rPr>
        <w:t xml:space="preserve"> las</w:t>
      </w:r>
      <w:r>
        <w:rPr>
          <w:rFonts w:ascii="Palatino Linotype" w:hAnsi="Palatino Linotype"/>
          <w:color w:val="000000"/>
        </w:rPr>
        <w:t xml:space="preserve"> obligaciones </w:t>
      </w:r>
      <w:r w:rsidR="00457590">
        <w:rPr>
          <w:rFonts w:ascii="Palatino Linotype" w:hAnsi="Palatino Linotype"/>
          <w:color w:val="000000"/>
        </w:rPr>
        <w:t>d</w:t>
      </w:r>
      <w:r>
        <w:rPr>
          <w:rFonts w:ascii="Palatino Linotype" w:hAnsi="Palatino Linotype"/>
          <w:color w:val="000000"/>
        </w:rPr>
        <w:t xml:space="preserve">el </w:t>
      </w:r>
      <w:r w:rsidRPr="00296FCD">
        <w:rPr>
          <w:rFonts w:ascii="Palatino Linotype" w:hAnsi="Palatino Linotype"/>
          <w:b/>
          <w:color w:val="000000"/>
        </w:rPr>
        <w:t>SUJETO OBLIGADO</w:t>
      </w:r>
      <w:r w:rsidR="007F3D4D">
        <w:rPr>
          <w:rFonts w:ascii="Palatino Linotype" w:hAnsi="Palatino Linotype"/>
          <w:b/>
          <w:color w:val="000000"/>
        </w:rPr>
        <w:t xml:space="preserve">, </w:t>
      </w:r>
      <w:r>
        <w:rPr>
          <w:rFonts w:ascii="Palatino Linotype" w:hAnsi="Palatino Linotype"/>
          <w:color w:val="000000"/>
        </w:rPr>
        <w:t>encontrar el punto</w:t>
      </w:r>
      <w:r w:rsidR="007F3D4D">
        <w:rPr>
          <w:rFonts w:ascii="Palatino Linotype" w:hAnsi="Palatino Linotype"/>
          <w:color w:val="000000"/>
        </w:rPr>
        <w:t xml:space="preserve"> armonioso en el que se protege </w:t>
      </w:r>
      <w:r>
        <w:rPr>
          <w:rFonts w:ascii="Palatino Linotype" w:hAnsi="Palatino Linotype"/>
          <w:color w:val="000000"/>
        </w:rPr>
        <w:t xml:space="preserve">de manera amplia el derecho de acceso a la información pública, </w:t>
      </w:r>
      <w:r w:rsidR="00CC4D6A">
        <w:rPr>
          <w:rFonts w:ascii="Palatino Linotype" w:hAnsi="Palatino Linotype"/>
          <w:color w:val="000000"/>
        </w:rPr>
        <w:t xml:space="preserve">por lo </w:t>
      </w:r>
      <w:r w:rsidR="007F3D4D">
        <w:rPr>
          <w:rFonts w:ascii="Palatino Linotype" w:hAnsi="Palatino Linotype"/>
          <w:color w:val="000000"/>
        </w:rPr>
        <w:t xml:space="preserve">que </w:t>
      </w:r>
      <w:r>
        <w:rPr>
          <w:rFonts w:ascii="Palatino Linotype" w:hAnsi="Palatino Linotype"/>
          <w:color w:val="000000"/>
        </w:rPr>
        <w:t>se</w:t>
      </w:r>
      <w:r w:rsidRPr="00296FCD">
        <w:rPr>
          <w:rFonts w:ascii="Palatino Linotype" w:hAnsi="Palatino Linotype"/>
          <w:color w:val="000000"/>
        </w:rPr>
        <w:t xml:space="preserve"> considera que la vía</w:t>
      </w:r>
      <w:r w:rsidR="00457590">
        <w:rPr>
          <w:rFonts w:ascii="Palatino Linotype" w:hAnsi="Palatino Linotype"/>
          <w:color w:val="000000"/>
        </w:rPr>
        <w:t xml:space="preserve"> óptima</w:t>
      </w:r>
      <w:r w:rsidRPr="00296FCD">
        <w:rPr>
          <w:rFonts w:ascii="Palatino Linotype" w:hAnsi="Palatino Linotype"/>
          <w:color w:val="000000"/>
        </w:rPr>
        <w:t xml:space="preserve"> para dar atención es mediante </w:t>
      </w:r>
      <w:r w:rsidR="007F3D4D">
        <w:rPr>
          <w:rFonts w:ascii="Palatino Linotype" w:hAnsi="Palatino Linotype"/>
          <w:color w:val="000000"/>
        </w:rPr>
        <w:t xml:space="preserve">la entrega de la información en </w:t>
      </w:r>
      <w:r w:rsidR="00CC4D6A" w:rsidRPr="00296FCD">
        <w:rPr>
          <w:rFonts w:ascii="Palatino Linotype" w:hAnsi="Palatino Linotype"/>
          <w:b/>
          <w:color w:val="000000"/>
        </w:rPr>
        <w:t>copias simples con costo</w:t>
      </w:r>
      <w:r>
        <w:rPr>
          <w:rFonts w:ascii="Palatino Linotype" w:hAnsi="Palatino Linotype"/>
          <w:color w:val="000000"/>
        </w:rPr>
        <w:t>.</w:t>
      </w:r>
    </w:p>
    <w:p w14:paraId="43D75B74" w14:textId="4C19A0A3" w:rsidR="00434D80" w:rsidRDefault="007F3D4D" w:rsidP="0015139E">
      <w:pPr>
        <w:spacing w:before="100" w:beforeAutospacing="1" w:after="100" w:afterAutospacing="1" w:line="360" w:lineRule="auto"/>
        <w:jc w:val="both"/>
        <w:rPr>
          <w:rFonts w:ascii="Palatino Linotype" w:hAnsi="Palatino Linotype" w:cs="Arial"/>
        </w:rPr>
      </w:pPr>
      <w:r>
        <w:rPr>
          <w:rFonts w:ascii="Palatino Linotype" w:hAnsi="Palatino Linotype" w:cs="Arial"/>
        </w:rPr>
        <w:t>E</w:t>
      </w:r>
      <w:r w:rsidR="00457590">
        <w:rPr>
          <w:rFonts w:ascii="Palatino Linotype" w:hAnsi="Palatino Linotype" w:cs="Arial"/>
        </w:rPr>
        <w:t>n ese tenor</w:t>
      </w:r>
      <w:r>
        <w:rPr>
          <w:rFonts w:ascii="Palatino Linotype" w:hAnsi="Palatino Linotype" w:cs="Arial"/>
        </w:rPr>
        <w:t>,</w:t>
      </w:r>
      <w:r w:rsidR="00434D80">
        <w:rPr>
          <w:rFonts w:ascii="Palatino Linotype" w:hAnsi="Palatino Linotype" w:cs="Arial"/>
        </w:rPr>
        <w:t xml:space="preserve"> es de </w:t>
      </w:r>
      <w:r w:rsidR="00434D80" w:rsidRPr="009A0480">
        <w:rPr>
          <w:rFonts w:ascii="Palatino Linotype" w:hAnsi="Palatino Linotype" w:cs="Arial"/>
          <w:b/>
        </w:rPr>
        <w:t>OPINIÓN PARTICULAR</w:t>
      </w:r>
      <w:r w:rsidR="00434D80" w:rsidRPr="00F74B57">
        <w:rPr>
          <w:rFonts w:ascii="Palatino Linotype" w:hAnsi="Palatino Linotype" w:cs="Arial"/>
        </w:rPr>
        <w:t xml:space="preserve"> </w:t>
      </w:r>
      <w:r>
        <w:rPr>
          <w:rFonts w:ascii="Palatino Linotype" w:hAnsi="Palatino Linotype" w:cs="Arial"/>
        </w:rPr>
        <w:t>el precisar que se comparte</w:t>
      </w:r>
      <w:r w:rsidR="00434D80">
        <w:rPr>
          <w:rFonts w:ascii="Palatino Linotype" w:hAnsi="Palatino Linotype" w:cs="Arial"/>
        </w:rPr>
        <w:t xml:space="preserve"> el fallo, tanto en lo general como en su sentido, puesto que la modalidad de entrega de la información que determina la Ponencia que resuelve, es la que se </w:t>
      </w:r>
      <w:r>
        <w:rPr>
          <w:rFonts w:ascii="Palatino Linotype" w:hAnsi="Palatino Linotype" w:cs="Arial"/>
        </w:rPr>
        <w:t xml:space="preserve">considera se </w:t>
      </w:r>
      <w:r w:rsidR="00434D80">
        <w:rPr>
          <w:rFonts w:ascii="Palatino Linotype" w:hAnsi="Palatino Linotype" w:cs="Arial"/>
        </w:rPr>
        <w:t xml:space="preserve">apega a los principios consagrados en la Ley </w:t>
      </w:r>
      <w:bookmarkStart w:id="0" w:name="_GoBack"/>
      <w:bookmarkEnd w:id="0"/>
      <w:r w:rsidR="00434D80">
        <w:rPr>
          <w:rFonts w:ascii="Palatino Linotype" w:hAnsi="Palatino Linotype" w:cs="Arial"/>
        </w:rPr>
        <w:t>de la m</w:t>
      </w:r>
      <w:r>
        <w:rPr>
          <w:rFonts w:ascii="Palatino Linotype" w:hAnsi="Palatino Linotype" w:cs="Arial"/>
        </w:rPr>
        <w:t>ateria y que protege de manera</w:t>
      </w:r>
      <w:r w:rsidR="00434D80">
        <w:rPr>
          <w:rFonts w:ascii="Palatino Linotype" w:hAnsi="Palatino Linotype" w:cs="Arial"/>
        </w:rPr>
        <w:t xml:space="preserve"> </w:t>
      </w:r>
      <w:r w:rsidR="00457590">
        <w:rPr>
          <w:rFonts w:ascii="Palatino Linotype" w:hAnsi="Palatino Linotype" w:cs="Arial"/>
        </w:rPr>
        <w:t>amplia el derecho del ciudadano de acceso a la información pública.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457590" w14:paraId="79916CC2" w14:textId="77777777" w:rsidTr="00D562D8">
        <w:tc>
          <w:tcPr>
            <w:tcW w:w="4555" w:type="dxa"/>
          </w:tcPr>
          <w:p w14:paraId="00EB5FEB" w14:textId="77777777" w:rsidR="00DA3BD4" w:rsidRDefault="00DA3BD4" w:rsidP="00990AEE">
            <w:pPr>
              <w:jc w:val="center"/>
              <w:rPr>
                <w:rFonts w:ascii="Palatino Linotype" w:hAnsi="Palatino Linotype" w:cs="Arial"/>
                <w:b/>
              </w:rPr>
            </w:pPr>
          </w:p>
          <w:p w14:paraId="60CB7065" w14:textId="77777777" w:rsidR="00DA3BD4" w:rsidRDefault="00DA3BD4" w:rsidP="00990AEE">
            <w:pPr>
              <w:jc w:val="center"/>
              <w:rPr>
                <w:rFonts w:ascii="Palatino Linotype" w:hAnsi="Palatino Linotype" w:cs="Arial"/>
                <w:b/>
              </w:rPr>
            </w:pPr>
          </w:p>
          <w:p w14:paraId="51D60ADA" w14:textId="68F57218" w:rsidR="00457590" w:rsidRPr="00457590" w:rsidRDefault="00457590" w:rsidP="00990AEE">
            <w:pPr>
              <w:jc w:val="center"/>
              <w:rPr>
                <w:rFonts w:ascii="Palatino Linotype" w:hAnsi="Palatino Linotype" w:cs="Arial"/>
                <w:b/>
              </w:rPr>
            </w:pPr>
            <w:r w:rsidRPr="0061470D">
              <w:rPr>
                <w:rFonts w:ascii="Palatino Linotype" w:hAnsi="Palatino Linotype" w:cs="Arial"/>
                <w:b/>
              </w:rPr>
              <w:t>EVA ABAID YAPUR</w:t>
            </w:r>
          </w:p>
        </w:tc>
        <w:tc>
          <w:tcPr>
            <w:tcW w:w="4556" w:type="dxa"/>
          </w:tcPr>
          <w:p w14:paraId="77A3AB1B" w14:textId="77777777" w:rsidR="00DA3BD4" w:rsidRDefault="00DA3BD4" w:rsidP="00990AEE">
            <w:pPr>
              <w:jc w:val="center"/>
              <w:rPr>
                <w:rFonts w:ascii="Palatino Linotype" w:hAnsi="Palatino Linotype" w:cs="Arial"/>
                <w:b/>
              </w:rPr>
            </w:pPr>
          </w:p>
          <w:p w14:paraId="5CE81CFF" w14:textId="77777777" w:rsidR="00DA3BD4" w:rsidRDefault="00DA3BD4" w:rsidP="00990AEE">
            <w:pPr>
              <w:jc w:val="center"/>
              <w:rPr>
                <w:rFonts w:ascii="Palatino Linotype" w:hAnsi="Palatino Linotype" w:cs="Arial"/>
                <w:b/>
              </w:rPr>
            </w:pPr>
          </w:p>
          <w:p w14:paraId="1B6B2C5B" w14:textId="3ABC682E" w:rsidR="00457590" w:rsidRPr="00457590" w:rsidRDefault="00457590" w:rsidP="00990AEE">
            <w:pPr>
              <w:jc w:val="center"/>
              <w:rPr>
                <w:rFonts w:ascii="Palatino Linotype" w:hAnsi="Palatino Linotype" w:cs="Arial"/>
                <w:b/>
              </w:rPr>
            </w:pPr>
            <w:r w:rsidRPr="00457590">
              <w:rPr>
                <w:rFonts w:ascii="Palatino Linotype" w:hAnsi="Palatino Linotype" w:cs="Arial"/>
                <w:b/>
              </w:rPr>
              <w:t>ZULEMA MARTÍNEZ SÁNCHEZ</w:t>
            </w:r>
          </w:p>
        </w:tc>
      </w:tr>
      <w:tr w:rsidR="00457590" w14:paraId="33BF873F" w14:textId="77777777" w:rsidTr="00D562D8">
        <w:tc>
          <w:tcPr>
            <w:tcW w:w="4555" w:type="dxa"/>
          </w:tcPr>
          <w:p w14:paraId="79AD6F09" w14:textId="77777777" w:rsidR="00457590" w:rsidRDefault="00457590" w:rsidP="00990AEE">
            <w:pPr>
              <w:jc w:val="center"/>
              <w:rPr>
                <w:rFonts w:ascii="Palatino Linotype" w:hAnsi="Palatino Linotype" w:cs="Arial"/>
                <w:b/>
              </w:rPr>
            </w:pPr>
            <w:r w:rsidRPr="0061470D">
              <w:rPr>
                <w:rFonts w:ascii="Palatino Linotype" w:hAnsi="Palatino Linotype" w:cs="Arial"/>
                <w:b/>
              </w:rPr>
              <w:t>COMISIONADA</w:t>
            </w:r>
          </w:p>
          <w:p w14:paraId="5B06362D" w14:textId="17D558D9" w:rsidR="00990AEE" w:rsidRPr="00457590" w:rsidRDefault="00990AEE" w:rsidP="00990AEE">
            <w:pPr>
              <w:jc w:val="center"/>
              <w:rPr>
                <w:rFonts w:ascii="Palatino Linotype" w:hAnsi="Palatino Linotype" w:cs="Arial"/>
                <w:b/>
              </w:rPr>
            </w:pPr>
            <w:r>
              <w:rPr>
                <w:rFonts w:ascii="Palatino Linotype" w:hAnsi="Palatino Linotype" w:cs="Arial"/>
                <w:b/>
              </w:rPr>
              <w:t>(RÚBRICA)</w:t>
            </w:r>
          </w:p>
        </w:tc>
        <w:tc>
          <w:tcPr>
            <w:tcW w:w="4556" w:type="dxa"/>
          </w:tcPr>
          <w:p w14:paraId="348D394A" w14:textId="77777777" w:rsidR="00457590" w:rsidRDefault="00457590" w:rsidP="00990AEE">
            <w:pPr>
              <w:jc w:val="center"/>
              <w:rPr>
                <w:rFonts w:ascii="Palatino Linotype" w:hAnsi="Palatino Linotype" w:cs="Arial"/>
                <w:b/>
              </w:rPr>
            </w:pPr>
            <w:r w:rsidRPr="00457590">
              <w:rPr>
                <w:rFonts w:ascii="Palatino Linotype" w:hAnsi="Palatino Linotype" w:cs="Arial"/>
                <w:b/>
              </w:rPr>
              <w:t>COMISIONADA PRESIDENTA</w:t>
            </w:r>
          </w:p>
          <w:p w14:paraId="1859452D" w14:textId="41E7EE4A" w:rsidR="00990AEE" w:rsidRPr="00457590" w:rsidRDefault="00990AEE" w:rsidP="00990AEE">
            <w:pPr>
              <w:jc w:val="center"/>
              <w:rPr>
                <w:rFonts w:ascii="Palatino Linotype" w:hAnsi="Palatino Linotype" w:cs="Arial"/>
                <w:b/>
              </w:rPr>
            </w:pPr>
            <w:r>
              <w:rPr>
                <w:rFonts w:ascii="Palatino Linotype" w:hAnsi="Palatino Linotype" w:cs="Arial"/>
                <w:b/>
              </w:rPr>
              <w:t>(RÚBRICA)</w:t>
            </w:r>
          </w:p>
        </w:tc>
      </w:tr>
    </w:tbl>
    <w:p w14:paraId="2D695226" w14:textId="77777777" w:rsidR="00DA3BD4" w:rsidRPr="00DA3BD4" w:rsidRDefault="00DA3BD4" w:rsidP="00DA3BD4">
      <w:pPr>
        <w:jc w:val="both"/>
        <w:rPr>
          <w:rFonts w:ascii="Palatino Linotype" w:eastAsia="Calibri" w:hAnsi="Palatino Linotype" w:cs="Arial"/>
          <w:color w:val="000000" w:themeColor="text1"/>
          <w:sz w:val="4"/>
          <w:szCs w:val="4"/>
        </w:rPr>
      </w:pPr>
    </w:p>
    <w:p w14:paraId="214881B4" w14:textId="77777777" w:rsidR="006D232D" w:rsidRPr="00DA3BD4" w:rsidRDefault="00FF1A50" w:rsidP="00DA3BD4">
      <w:pPr>
        <w:jc w:val="both"/>
        <w:rPr>
          <w:rFonts w:ascii="Palatino Linotype" w:eastAsia="Calibri" w:hAnsi="Palatino Linotype" w:cs="Arial"/>
          <w:color w:val="000000" w:themeColor="text1"/>
          <w:sz w:val="14"/>
          <w:szCs w:val="14"/>
        </w:rPr>
      </w:pPr>
      <w:r w:rsidRPr="00DA3BD4">
        <w:rPr>
          <w:rFonts w:ascii="Palatino Linotype" w:eastAsia="Calibri" w:hAnsi="Palatino Linotype" w:cs="Arial"/>
          <w:color w:val="000000" w:themeColor="text1"/>
          <w:sz w:val="14"/>
          <w:szCs w:val="14"/>
        </w:rPr>
        <w:t>E</w:t>
      </w:r>
      <w:r w:rsidR="00305065" w:rsidRPr="00DA3BD4">
        <w:rPr>
          <w:rFonts w:ascii="Palatino Linotype" w:eastAsia="Calibri" w:hAnsi="Palatino Linotype" w:cs="Arial"/>
          <w:color w:val="000000" w:themeColor="text1"/>
          <w:sz w:val="14"/>
          <w:szCs w:val="14"/>
        </w:rPr>
        <w:t>sta hoja corresponde a</w:t>
      </w:r>
      <w:r w:rsidR="00095F2F" w:rsidRPr="00DA3BD4">
        <w:rPr>
          <w:rFonts w:ascii="Palatino Linotype" w:eastAsia="Calibri" w:hAnsi="Palatino Linotype" w:cs="Arial"/>
          <w:color w:val="000000" w:themeColor="text1"/>
          <w:sz w:val="14"/>
          <w:szCs w:val="14"/>
        </w:rPr>
        <w:t xml:space="preserve"> </w:t>
      </w:r>
      <w:r w:rsidR="00305065" w:rsidRPr="00DA3BD4">
        <w:rPr>
          <w:rFonts w:ascii="Palatino Linotype" w:eastAsia="Calibri" w:hAnsi="Palatino Linotype" w:cs="Arial"/>
          <w:color w:val="000000" w:themeColor="text1"/>
          <w:sz w:val="14"/>
          <w:szCs w:val="14"/>
        </w:rPr>
        <w:t>l</w:t>
      </w:r>
      <w:r w:rsidR="001A5351" w:rsidRPr="00DA3BD4">
        <w:rPr>
          <w:rFonts w:ascii="Palatino Linotype" w:eastAsia="Calibri" w:hAnsi="Palatino Linotype" w:cs="Arial"/>
          <w:color w:val="000000" w:themeColor="text1"/>
          <w:sz w:val="14"/>
          <w:szCs w:val="14"/>
        </w:rPr>
        <w:t>a opinión particular</w:t>
      </w:r>
      <w:r w:rsidR="00434D80" w:rsidRPr="00DA3BD4">
        <w:rPr>
          <w:rFonts w:ascii="Palatino Linotype" w:eastAsia="Calibri" w:hAnsi="Palatino Linotype" w:cs="Arial"/>
          <w:color w:val="000000" w:themeColor="text1"/>
          <w:sz w:val="14"/>
          <w:szCs w:val="14"/>
        </w:rPr>
        <w:t xml:space="preserve"> concurrente</w:t>
      </w:r>
      <w:r w:rsidR="001A5351" w:rsidRPr="00DA3BD4">
        <w:rPr>
          <w:rFonts w:ascii="Palatino Linotype" w:eastAsia="Calibri" w:hAnsi="Palatino Linotype" w:cs="Arial"/>
          <w:color w:val="000000" w:themeColor="text1"/>
          <w:sz w:val="14"/>
          <w:szCs w:val="14"/>
        </w:rPr>
        <w:t xml:space="preserve"> emitida</w:t>
      </w:r>
      <w:r w:rsidR="00305065" w:rsidRPr="00DA3BD4">
        <w:rPr>
          <w:rFonts w:ascii="Palatino Linotype" w:eastAsia="Calibri" w:hAnsi="Palatino Linotype" w:cs="Arial"/>
          <w:color w:val="000000" w:themeColor="text1"/>
          <w:sz w:val="14"/>
          <w:szCs w:val="14"/>
        </w:rPr>
        <w:t xml:space="preserve"> en </w:t>
      </w:r>
      <w:r w:rsidR="00434D80" w:rsidRPr="00DA3BD4">
        <w:rPr>
          <w:rFonts w:ascii="Palatino Linotype" w:eastAsia="Calibri" w:hAnsi="Palatino Linotype" w:cs="Arial"/>
          <w:color w:val="000000" w:themeColor="text1"/>
          <w:sz w:val="14"/>
          <w:szCs w:val="14"/>
        </w:rPr>
        <w:t>la resolución de</w:t>
      </w:r>
      <w:r w:rsidR="00457590" w:rsidRPr="00DA3BD4">
        <w:rPr>
          <w:rFonts w:ascii="Palatino Linotype" w:eastAsia="Calibri" w:hAnsi="Palatino Linotype" w:cs="Arial"/>
          <w:color w:val="000000" w:themeColor="text1"/>
          <w:sz w:val="14"/>
          <w:szCs w:val="14"/>
        </w:rPr>
        <w:t xml:space="preserve"> </w:t>
      </w:r>
      <w:r w:rsidR="00434D80" w:rsidRPr="00DA3BD4">
        <w:rPr>
          <w:rFonts w:ascii="Palatino Linotype" w:eastAsia="Calibri" w:hAnsi="Palatino Linotype" w:cs="Arial"/>
          <w:color w:val="000000" w:themeColor="text1"/>
          <w:sz w:val="14"/>
          <w:szCs w:val="14"/>
        </w:rPr>
        <w:t>l</w:t>
      </w:r>
      <w:r w:rsidR="00457590" w:rsidRPr="00DA3BD4">
        <w:rPr>
          <w:rFonts w:ascii="Palatino Linotype" w:eastAsia="Calibri" w:hAnsi="Palatino Linotype" w:cs="Arial"/>
          <w:color w:val="000000" w:themeColor="text1"/>
          <w:sz w:val="14"/>
          <w:szCs w:val="14"/>
        </w:rPr>
        <w:t>os</w:t>
      </w:r>
      <w:r w:rsidR="00434D80" w:rsidRPr="00DA3BD4">
        <w:rPr>
          <w:rFonts w:ascii="Palatino Linotype" w:eastAsia="Calibri" w:hAnsi="Palatino Linotype" w:cs="Arial"/>
          <w:color w:val="000000" w:themeColor="text1"/>
          <w:sz w:val="14"/>
          <w:szCs w:val="14"/>
        </w:rPr>
        <w:t xml:space="preserve"> </w:t>
      </w:r>
      <w:r w:rsidR="00C937F3" w:rsidRPr="00DA3BD4">
        <w:rPr>
          <w:rFonts w:ascii="Palatino Linotype" w:eastAsia="Calibri" w:hAnsi="Palatino Linotype" w:cs="Arial"/>
          <w:color w:val="000000" w:themeColor="text1"/>
          <w:sz w:val="14"/>
          <w:szCs w:val="14"/>
        </w:rPr>
        <w:t>recurso</w:t>
      </w:r>
      <w:r w:rsidR="00457590" w:rsidRPr="00DA3BD4">
        <w:rPr>
          <w:rFonts w:ascii="Palatino Linotype" w:eastAsia="Calibri" w:hAnsi="Palatino Linotype" w:cs="Arial"/>
          <w:color w:val="000000" w:themeColor="text1"/>
          <w:sz w:val="14"/>
          <w:szCs w:val="14"/>
        </w:rPr>
        <w:t>s</w:t>
      </w:r>
      <w:r w:rsidR="00C937F3" w:rsidRPr="00DA3BD4">
        <w:rPr>
          <w:rFonts w:ascii="Palatino Linotype" w:eastAsia="Calibri" w:hAnsi="Palatino Linotype" w:cs="Arial"/>
          <w:color w:val="000000" w:themeColor="text1"/>
          <w:sz w:val="14"/>
          <w:szCs w:val="14"/>
        </w:rPr>
        <w:t xml:space="preserve"> de revisión </w:t>
      </w:r>
      <w:r w:rsidR="00434D80" w:rsidRPr="00DA3BD4">
        <w:rPr>
          <w:rFonts w:ascii="Palatino Linotype" w:eastAsia="Calibri" w:hAnsi="Palatino Linotype" w:cs="Arial"/>
          <w:color w:val="000000" w:themeColor="text1"/>
          <w:sz w:val="14"/>
          <w:szCs w:val="14"/>
        </w:rPr>
        <w:t>02431/INFOEM/IP/RR/2018, 02432/INFOEM/IP/RR/2018, 02433/INFOEM/IP/RR/2018, 02434/INFOEM/IP/RR/2018, 02435/INFOEM/IP/RR/2018, 02436/INFOEM/IP/RR/2018, 02437/INFOEM/IP/RR/2018, 02438/INFOEM/IP/RR/2018, 02439/INFOEM/IP/RR/2018, 02440/INFOEM/IP/RR/2018, 02441/INFOEM/IP/RR/2018, 02442/INFOEM/IP/RR/2018, 02443/INFOEM/IP/RR/2018, 02444/INFOEM/IP/RR/2018, 02445/INFOEM/IP/RR/2018, 02446/INFOEM/IP/RR/2018, 02447/INFOEM/IP/RR/2018, 02448/INFOEM/IP/RR/2018, 02449/INFOEM/IP/RR/2018, 02450/INFOEM/IP/RR/2018, 02451/INFOEM/IP/RR/2018, 02452/INFOEM/IP/RR/2018, 02453/INFOEM/IP/RR/2018, 02454/INFOEM/IP/RR/2018, 02455/INFOEM/IP/RR/2018 y 02456/INFOEM/IP/RR/2018 acumulados</w:t>
      </w:r>
      <w:r w:rsidR="00305065" w:rsidRPr="00DA3BD4">
        <w:rPr>
          <w:rFonts w:ascii="Palatino Linotype" w:eastAsia="Calibri" w:hAnsi="Palatino Linotype" w:cs="Arial"/>
          <w:color w:val="000000" w:themeColor="text1"/>
          <w:sz w:val="14"/>
          <w:szCs w:val="14"/>
        </w:rPr>
        <w:t>, aprobad</w:t>
      </w:r>
      <w:r w:rsidR="00434D80" w:rsidRPr="00DA3BD4">
        <w:rPr>
          <w:rFonts w:ascii="Palatino Linotype" w:eastAsia="Calibri" w:hAnsi="Palatino Linotype" w:cs="Arial"/>
          <w:color w:val="000000" w:themeColor="text1"/>
          <w:sz w:val="14"/>
          <w:szCs w:val="14"/>
        </w:rPr>
        <w:t>a el veintidós de agosto de dos mil dieciocho</w:t>
      </w:r>
      <w:r w:rsidR="00305065" w:rsidRPr="00DA3BD4">
        <w:rPr>
          <w:rFonts w:ascii="Palatino Linotype" w:eastAsia="Calibri" w:hAnsi="Palatino Linotype" w:cs="Arial"/>
          <w:color w:val="000000" w:themeColor="text1"/>
          <w:sz w:val="14"/>
          <w:szCs w:val="14"/>
        </w:rPr>
        <w:t>.</w:t>
      </w:r>
      <w:r w:rsidR="002E787A" w:rsidRPr="00DA3BD4">
        <w:rPr>
          <w:rFonts w:ascii="Palatino Linotype" w:eastAsia="Calibri" w:hAnsi="Palatino Linotype" w:cs="Arial"/>
          <w:color w:val="000000" w:themeColor="text1"/>
          <w:sz w:val="14"/>
          <w:szCs w:val="14"/>
        </w:rPr>
        <w:t xml:space="preserve"> </w:t>
      </w:r>
    </w:p>
    <w:p w14:paraId="77089C31" w14:textId="3C815319" w:rsidR="00DA3BD4" w:rsidRPr="00DA3BD4" w:rsidRDefault="00305065">
      <w:pPr>
        <w:jc w:val="both"/>
        <w:rPr>
          <w:rFonts w:ascii="Palatino Linotype" w:eastAsia="Calibri" w:hAnsi="Palatino Linotype" w:cs="Arial"/>
          <w:color w:val="000000" w:themeColor="text1"/>
          <w:sz w:val="16"/>
          <w:szCs w:val="16"/>
        </w:rPr>
      </w:pPr>
      <w:r w:rsidRPr="00DA3BD4">
        <w:rPr>
          <w:rFonts w:ascii="Palatino Linotype" w:eastAsia="Calibri" w:hAnsi="Palatino Linotype" w:cs="Arial"/>
          <w:color w:val="000000" w:themeColor="text1"/>
          <w:sz w:val="14"/>
          <w:szCs w:val="14"/>
        </w:rPr>
        <w:t>YSM/</w:t>
      </w:r>
      <w:r w:rsidR="00434D80" w:rsidRPr="00DA3BD4">
        <w:rPr>
          <w:rFonts w:ascii="Palatino Linotype" w:eastAsia="Calibri" w:hAnsi="Palatino Linotype" w:cs="Arial"/>
          <w:color w:val="000000" w:themeColor="text1"/>
          <w:sz w:val="14"/>
          <w:szCs w:val="14"/>
        </w:rPr>
        <w:t>OSAM/</w:t>
      </w:r>
      <w:r w:rsidRPr="00DA3BD4">
        <w:rPr>
          <w:rFonts w:ascii="Palatino Linotype" w:eastAsia="Calibri" w:hAnsi="Palatino Linotype" w:cs="Arial"/>
          <w:color w:val="000000" w:themeColor="text1"/>
          <w:sz w:val="14"/>
          <w:szCs w:val="14"/>
        </w:rPr>
        <w:t>ATU</w:t>
      </w:r>
    </w:p>
    <w:sectPr w:rsidR="00DA3BD4" w:rsidRPr="00DA3BD4" w:rsidSect="0015139E">
      <w:headerReference w:type="even" r:id="rId8"/>
      <w:headerReference w:type="default" r:id="rId9"/>
      <w:footerReference w:type="default" r:id="rId10"/>
      <w:headerReference w:type="first" r:id="rId11"/>
      <w:pgSz w:w="12240" w:h="15840"/>
      <w:pgMar w:top="2552" w:right="1418" w:bottom="2410"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9BE40" w14:textId="77777777" w:rsidR="00E35187" w:rsidRDefault="00E35187" w:rsidP="00C80F8C">
      <w:r>
        <w:separator/>
      </w:r>
    </w:p>
  </w:endnote>
  <w:endnote w:type="continuationSeparator" w:id="0">
    <w:p w14:paraId="07A2548E" w14:textId="77777777" w:rsidR="00E35187" w:rsidRDefault="00E351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90AEE">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90AEE">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9BF3C" w14:textId="77777777" w:rsidR="00E35187" w:rsidRDefault="00E35187" w:rsidP="00C80F8C">
      <w:r>
        <w:separator/>
      </w:r>
    </w:p>
  </w:footnote>
  <w:footnote w:type="continuationSeparator" w:id="0">
    <w:p w14:paraId="17FF3F60" w14:textId="77777777" w:rsidR="00E35187" w:rsidRDefault="00E3518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E35187">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0EBF2FE9"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6E4B6A69" w:rsidR="0034309A" w:rsidRDefault="007F1C25"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00323C78">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r w:rsidR="00F42FCF">
      <w:rPr>
        <w:rFonts w:ascii="Palatino Linotype" w:hAnsi="Palatino Linotype" w:cs="Arial"/>
        <w:sz w:val="20"/>
        <w:szCs w:val="20"/>
      </w:rPr>
      <w:t xml:space="preserve"> CONCURRENTE</w:t>
    </w:r>
  </w:p>
  <w:p w14:paraId="1D88730B" w14:textId="79C320FF" w:rsidR="00512CE0" w:rsidRDefault="0034309A" w:rsidP="007F1C25">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RECURSO</w:t>
    </w:r>
    <w:r w:rsidR="008C7DB6">
      <w:rPr>
        <w:rFonts w:ascii="Palatino Linotype" w:hAnsi="Palatino Linotype" w:cs="Arial"/>
        <w:sz w:val="20"/>
        <w:szCs w:val="20"/>
      </w:rPr>
      <w:t>S</w:t>
    </w:r>
    <w:r w:rsidRPr="00706042">
      <w:rPr>
        <w:rFonts w:ascii="Palatino Linotype" w:hAnsi="Palatino Linotype" w:cs="Arial"/>
        <w:sz w:val="20"/>
        <w:szCs w:val="20"/>
      </w:rPr>
      <w:t xml:space="preserve"> DE REVISIÓN </w:t>
    </w:r>
    <w:r w:rsidR="00512CE0" w:rsidRPr="00512CE0">
      <w:rPr>
        <w:rFonts w:ascii="Palatino Linotype" w:hAnsi="Palatino Linotype" w:cs="Arial"/>
        <w:sz w:val="20"/>
        <w:szCs w:val="20"/>
      </w:rPr>
      <w:t>02</w:t>
    </w:r>
    <w:r w:rsidR="008C7DB6">
      <w:rPr>
        <w:rFonts w:ascii="Palatino Linotype" w:hAnsi="Palatino Linotype" w:cs="Arial"/>
        <w:sz w:val="20"/>
        <w:szCs w:val="20"/>
      </w:rPr>
      <w:t>431 Y ACUMULADOS</w:t>
    </w:r>
    <w:r w:rsidR="00512CE0" w:rsidRPr="00512CE0">
      <w:rPr>
        <w:rFonts w:ascii="Palatino Linotype" w:hAnsi="Palatino Linotype" w:cs="Arial"/>
        <w:sz w:val="20"/>
        <w:szCs w:val="20"/>
      </w:rPr>
      <w:t xml:space="preserve"> </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579DB324" w:rsidR="0030072F" w:rsidRDefault="00E35187"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27.55pt;height:69.45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E35187">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2D415555"/>
    <w:multiLevelType w:val="hybridMultilevel"/>
    <w:tmpl w:val="532AE4F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D60F25"/>
    <w:multiLevelType w:val="hybridMultilevel"/>
    <w:tmpl w:val="50B20F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51770B"/>
    <w:multiLevelType w:val="hybridMultilevel"/>
    <w:tmpl w:val="7B76D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731417"/>
    <w:multiLevelType w:val="hybridMultilevel"/>
    <w:tmpl w:val="CFD81B8A"/>
    <w:lvl w:ilvl="0" w:tplc="CA14020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
  </w:num>
  <w:num w:numId="3">
    <w:abstractNumId w:val="8"/>
  </w:num>
  <w:num w:numId="4">
    <w:abstractNumId w:val="1"/>
  </w:num>
  <w:num w:numId="5">
    <w:abstractNumId w:val="11"/>
  </w:num>
  <w:num w:numId="6">
    <w:abstractNumId w:val="9"/>
  </w:num>
  <w:num w:numId="7">
    <w:abstractNumId w:val="0"/>
  </w:num>
  <w:num w:numId="8">
    <w:abstractNumId w:val="4"/>
  </w:num>
  <w:num w:numId="9">
    <w:abstractNumId w:val="6"/>
  </w:num>
  <w:num w:numId="10">
    <w:abstractNumId w:val="10"/>
  </w:num>
  <w:num w:numId="11">
    <w:abstractNumId w:val="1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3D39"/>
    <w:rsid w:val="0001751C"/>
    <w:rsid w:val="00017D16"/>
    <w:rsid w:val="000412FB"/>
    <w:rsid w:val="00052FFC"/>
    <w:rsid w:val="00055107"/>
    <w:rsid w:val="0006079D"/>
    <w:rsid w:val="00070325"/>
    <w:rsid w:val="0007653D"/>
    <w:rsid w:val="00082101"/>
    <w:rsid w:val="0008542A"/>
    <w:rsid w:val="0008745A"/>
    <w:rsid w:val="00092678"/>
    <w:rsid w:val="00095B30"/>
    <w:rsid w:val="00095F2F"/>
    <w:rsid w:val="000A4C89"/>
    <w:rsid w:val="000B3FFD"/>
    <w:rsid w:val="000B6BFB"/>
    <w:rsid w:val="000C4453"/>
    <w:rsid w:val="000D136C"/>
    <w:rsid w:val="000D66DE"/>
    <w:rsid w:val="000E2B1A"/>
    <w:rsid w:val="000E4C17"/>
    <w:rsid w:val="00102099"/>
    <w:rsid w:val="00102EEC"/>
    <w:rsid w:val="0010583C"/>
    <w:rsid w:val="001059D0"/>
    <w:rsid w:val="00112DF4"/>
    <w:rsid w:val="00115C54"/>
    <w:rsid w:val="00117749"/>
    <w:rsid w:val="00123644"/>
    <w:rsid w:val="0013735C"/>
    <w:rsid w:val="00137CA1"/>
    <w:rsid w:val="00140058"/>
    <w:rsid w:val="00145492"/>
    <w:rsid w:val="0015139E"/>
    <w:rsid w:val="00175DEE"/>
    <w:rsid w:val="0018441E"/>
    <w:rsid w:val="00187FFD"/>
    <w:rsid w:val="001950C9"/>
    <w:rsid w:val="001A5351"/>
    <w:rsid w:val="001D1601"/>
    <w:rsid w:val="001E757E"/>
    <w:rsid w:val="001E763C"/>
    <w:rsid w:val="00202137"/>
    <w:rsid w:val="002314AA"/>
    <w:rsid w:val="0023504D"/>
    <w:rsid w:val="00237A37"/>
    <w:rsid w:val="0024119C"/>
    <w:rsid w:val="0025202C"/>
    <w:rsid w:val="002562CC"/>
    <w:rsid w:val="002940F8"/>
    <w:rsid w:val="00296FCD"/>
    <w:rsid w:val="002A0C31"/>
    <w:rsid w:val="002A50EF"/>
    <w:rsid w:val="002B0DA6"/>
    <w:rsid w:val="002B7856"/>
    <w:rsid w:val="002D3BBD"/>
    <w:rsid w:val="002D4526"/>
    <w:rsid w:val="002D69E1"/>
    <w:rsid w:val="002D72E2"/>
    <w:rsid w:val="002E5711"/>
    <w:rsid w:val="002E787A"/>
    <w:rsid w:val="002F4434"/>
    <w:rsid w:val="0030072F"/>
    <w:rsid w:val="00305065"/>
    <w:rsid w:val="003056D9"/>
    <w:rsid w:val="003102FA"/>
    <w:rsid w:val="003148A1"/>
    <w:rsid w:val="00323C78"/>
    <w:rsid w:val="0034309A"/>
    <w:rsid w:val="00351129"/>
    <w:rsid w:val="0037279D"/>
    <w:rsid w:val="0037321B"/>
    <w:rsid w:val="003A6F70"/>
    <w:rsid w:val="003C23BE"/>
    <w:rsid w:val="003C28FC"/>
    <w:rsid w:val="003C2D10"/>
    <w:rsid w:val="003C7226"/>
    <w:rsid w:val="003D1C14"/>
    <w:rsid w:val="003E00BF"/>
    <w:rsid w:val="003F4C9C"/>
    <w:rsid w:val="00410D1F"/>
    <w:rsid w:val="004119C7"/>
    <w:rsid w:val="00414E48"/>
    <w:rsid w:val="00414E7B"/>
    <w:rsid w:val="004179B7"/>
    <w:rsid w:val="004315BB"/>
    <w:rsid w:val="00434D80"/>
    <w:rsid w:val="0044271B"/>
    <w:rsid w:val="00443646"/>
    <w:rsid w:val="0044475B"/>
    <w:rsid w:val="00452117"/>
    <w:rsid w:val="00455CB3"/>
    <w:rsid w:val="00457590"/>
    <w:rsid w:val="00464462"/>
    <w:rsid w:val="004661D2"/>
    <w:rsid w:val="004776FF"/>
    <w:rsid w:val="004B7325"/>
    <w:rsid w:val="004C40EA"/>
    <w:rsid w:val="004C64D9"/>
    <w:rsid w:val="004D0A26"/>
    <w:rsid w:val="00500FFD"/>
    <w:rsid w:val="00512CE0"/>
    <w:rsid w:val="00516914"/>
    <w:rsid w:val="005236B6"/>
    <w:rsid w:val="005318AB"/>
    <w:rsid w:val="005321E3"/>
    <w:rsid w:val="00562649"/>
    <w:rsid w:val="00575235"/>
    <w:rsid w:val="0058067E"/>
    <w:rsid w:val="0058639E"/>
    <w:rsid w:val="005870DF"/>
    <w:rsid w:val="005937C3"/>
    <w:rsid w:val="005B50C5"/>
    <w:rsid w:val="005B773B"/>
    <w:rsid w:val="005C6466"/>
    <w:rsid w:val="005C66D4"/>
    <w:rsid w:val="005D14C4"/>
    <w:rsid w:val="005D1946"/>
    <w:rsid w:val="005D2C85"/>
    <w:rsid w:val="00612544"/>
    <w:rsid w:val="00623E10"/>
    <w:rsid w:val="00634485"/>
    <w:rsid w:val="00646A97"/>
    <w:rsid w:val="006632B9"/>
    <w:rsid w:val="00672211"/>
    <w:rsid w:val="0067530B"/>
    <w:rsid w:val="006824EF"/>
    <w:rsid w:val="00683443"/>
    <w:rsid w:val="00684492"/>
    <w:rsid w:val="00694EB3"/>
    <w:rsid w:val="006967D4"/>
    <w:rsid w:val="006A496D"/>
    <w:rsid w:val="006C0991"/>
    <w:rsid w:val="006D232D"/>
    <w:rsid w:val="006E6389"/>
    <w:rsid w:val="006F1F0F"/>
    <w:rsid w:val="006F30F8"/>
    <w:rsid w:val="006F71C7"/>
    <w:rsid w:val="00712BC2"/>
    <w:rsid w:val="0071346B"/>
    <w:rsid w:val="00721966"/>
    <w:rsid w:val="00724599"/>
    <w:rsid w:val="007302DE"/>
    <w:rsid w:val="00736C06"/>
    <w:rsid w:val="007378FE"/>
    <w:rsid w:val="007416E3"/>
    <w:rsid w:val="00742010"/>
    <w:rsid w:val="00753108"/>
    <w:rsid w:val="00772360"/>
    <w:rsid w:val="007A4AB6"/>
    <w:rsid w:val="007B6E55"/>
    <w:rsid w:val="007C0FDA"/>
    <w:rsid w:val="007C3C0E"/>
    <w:rsid w:val="007C7551"/>
    <w:rsid w:val="007D0FEE"/>
    <w:rsid w:val="007D29A5"/>
    <w:rsid w:val="007E545F"/>
    <w:rsid w:val="007F1C25"/>
    <w:rsid w:val="007F3D4D"/>
    <w:rsid w:val="008217CD"/>
    <w:rsid w:val="00832A39"/>
    <w:rsid w:val="00846A21"/>
    <w:rsid w:val="00884669"/>
    <w:rsid w:val="00892AFC"/>
    <w:rsid w:val="008A52BF"/>
    <w:rsid w:val="008C0700"/>
    <w:rsid w:val="008C0C70"/>
    <w:rsid w:val="008C17F2"/>
    <w:rsid w:val="008C7DB6"/>
    <w:rsid w:val="008D1526"/>
    <w:rsid w:val="008D584A"/>
    <w:rsid w:val="00926A92"/>
    <w:rsid w:val="0093343E"/>
    <w:rsid w:val="00953EC8"/>
    <w:rsid w:val="00966E59"/>
    <w:rsid w:val="009747AF"/>
    <w:rsid w:val="00975AA3"/>
    <w:rsid w:val="00975EB9"/>
    <w:rsid w:val="009773AF"/>
    <w:rsid w:val="00982576"/>
    <w:rsid w:val="00982F97"/>
    <w:rsid w:val="00986740"/>
    <w:rsid w:val="00990AEE"/>
    <w:rsid w:val="009A271C"/>
    <w:rsid w:val="009A67F5"/>
    <w:rsid w:val="009B26A2"/>
    <w:rsid w:val="009B56BC"/>
    <w:rsid w:val="009B65F4"/>
    <w:rsid w:val="009C2F32"/>
    <w:rsid w:val="009C46BF"/>
    <w:rsid w:val="009D63A9"/>
    <w:rsid w:val="009E5EDA"/>
    <w:rsid w:val="00A032F1"/>
    <w:rsid w:val="00A04C79"/>
    <w:rsid w:val="00A14B1D"/>
    <w:rsid w:val="00A40057"/>
    <w:rsid w:val="00A4593D"/>
    <w:rsid w:val="00A53958"/>
    <w:rsid w:val="00A5532D"/>
    <w:rsid w:val="00A60D1E"/>
    <w:rsid w:val="00A6649D"/>
    <w:rsid w:val="00A7039C"/>
    <w:rsid w:val="00A722B4"/>
    <w:rsid w:val="00A81140"/>
    <w:rsid w:val="00A824CA"/>
    <w:rsid w:val="00A90A2F"/>
    <w:rsid w:val="00A9338D"/>
    <w:rsid w:val="00AB21DA"/>
    <w:rsid w:val="00AC248E"/>
    <w:rsid w:val="00AC3F99"/>
    <w:rsid w:val="00AD6AAD"/>
    <w:rsid w:val="00AE2B18"/>
    <w:rsid w:val="00AF0B38"/>
    <w:rsid w:val="00AF3F82"/>
    <w:rsid w:val="00B151A8"/>
    <w:rsid w:val="00B27BE5"/>
    <w:rsid w:val="00B27F2D"/>
    <w:rsid w:val="00B337A5"/>
    <w:rsid w:val="00B33ED0"/>
    <w:rsid w:val="00B35A45"/>
    <w:rsid w:val="00B4641E"/>
    <w:rsid w:val="00B46E78"/>
    <w:rsid w:val="00B5072E"/>
    <w:rsid w:val="00B53290"/>
    <w:rsid w:val="00B57FE6"/>
    <w:rsid w:val="00B64C77"/>
    <w:rsid w:val="00B650A8"/>
    <w:rsid w:val="00B80485"/>
    <w:rsid w:val="00B86CE4"/>
    <w:rsid w:val="00B95BF7"/>
    <w:rsid w:val="00BA3108"/>
    <w:rsid w:val="00BA7F75"/>
    <w:rsid w:val="00BC5D71"/>
    <w:rsid w:val="00BD7483"/>
    <w:rsid w:val="00BE56A5"/>
    <w:rsid w:val="00BF5A25"/>
    <w:rsid w:val="00C03924"/>
    <w:rsid w:val="00C1644D"/>
    <w:rsid w:val="00C30621"/>
    <w:rsid w:val="00C307F0"/>
    <w:rsid w:val="00C33483"/>
    <w:rsid w:val="00C4493E"/>
    <w:rsid w:val="00C4593D"/>
    <w:rsid w:val="00C570F6"/>
    <w:rsid w:val="00C766EF"/>
    <w:rsid w:val="00C80F8C"/>
    <w:rsid w:val="00C934CD"/>
    <w:rsid w:val="00C937F3"/>
    <w:rsid w:val="00CA047D"/>
    <w:rsid w:val="00CB4AA5"/>
    <w:rsid w:val="00CC06C9"/>
    <w:rsid w:val="00CC4D6A"/>
    <w:rsid w:val="00CC5EAB"/>
    <w:rsid w:val="00CD311D"/>
    <w:rsid w:val="00CF021E"/>
    <w:rsid w:val="00CF30E8"/>
    <w:rsid w:val="00D01B99"/>
    <w:rsid w:val="00D22D87"/>
    <w:rsid w:val="00D3189D"/>
    <w:rsid w:val="00D46C00"/>
    <w:rsid w:val="00D557C2"/>
    <w:rsid w:val="00D562D8"/>
    <w:rsid w:val="00D64F32"/>
    <w:rsid w:val="00D97494"/>
    <w:rsid w:val="00DA3BD4"/>
    <w:rsid w:val="00DA5209"/>
    <w:rsid w:val="00DD676C"/>
    <w:rsid w:val="00DD6A6C"/>
    <w:rsid w:val="00E005D9"/>
    <w:rsid w:val="00E10A96"/>
    <w:rsid w:val="00E146AA"/>
    <w:rsid w:val="00E27F2A"/>
    <w:rsid w:val="00E35187"/>
    <w:rsid w:val="00E42755"/>
    <w:rsid w:val="00E43B8E"/>
    <w:rsid w:val="00E45B76"/>
    <w:rsid w:val="00E46383"/>
    <w:rsid w:val="00E50E30"/>
    <w:rsid w:val="00E534E1"/>
    <w:rsid w:val="00E6629A"/>
    <w:rsid w:val="00E76ECF"/>
    <w:rsid w:val="00E8209A"/>
    <w:rsid w:val="00E83E8C"/>
    <w:rsid w:val="00EA27CB"/>
    <w:rsid w:val="00EA2B15"/>
    <w:rsid w:val="00EA5EEB"/>
    <w:rsid w:val="00EA7874"/>
    <w:rsid w:val="00EB07CC"/>
    <w:rsid w:val="00EB7480"/>
    <w:rsid w:val="00EB7DE6"/>
    <w:rsid w:val="00EB7F1A"/>
    <w:rsid w:val="00EC0002"/>
    <w:rsid w:val="00ED5EE9"/>
    <w:rsid w:val="00F06505"/>
    <w:rsid w:val="00F1277E"/>
    <w:rsid w:val="00F36CDE"/>
    <w:rsid w:val="00F42FCF"/>
    <w:rsid w:val="00F44E84"/>
    <w:rsid w:val="00F548A9"/>
    <w:rsid w:val="00F54D8B"/>
    <w:rsid w:val="00F65E4C"/>
    <w:rsid w:val="00F85381"/>
    <w:rsid w:val="00F9624E"/>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table" w:styleId="Tablaconcuadrcula">
    <w:name w:val="Table Grid"/>
    <w:basedOn w:val="Tablanormal"/>
    <w:uiPriority w:val="59"/>
    <w:rsid w:val="00457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5B94-0C35-4AA5-BF56-DDF3BF82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2117</Words>
  <Characters>11647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2018-08-27T18:13:00Z</cp:lastPrinted>
  <dcterms:created xsi:type="dcterms:W3CDTF">2018-08-27T20:02:00Z</dcterms:created>
  <dcterms:modified xsi:type="dcterms:W3CDTF">2018-10-11T01:39:00Z</dcterms:modified>
</cp:coreProperties>
</file>